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8B972" w14:textId="77777777" w:rsidR="00E24893" w:rsidRDefault="00E24893" w:rsidP="00E24893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bookmarkStart w:id="0" w:name="_GoBack"/>
      <w:bookmarkEnd w:id="0"/>
      <w:r>
        <w:rPr>
          <w:rFonts w:ascii="Sylfaen" w:hAnsi="Sylfaen"/>
          <w:b/>
          <w:sz w:val="28"/>
          <w:szCs w:val="28"/>
          <w:lang w:val="ka-GE"/>
        </w:rPr>
        <w:t>20</w:t>
      </w:r>
      <w:r>
        <w:rPr>
          <w:rFonts w:ascii="Sylfaen" w:hAnsi="Sylfaen"/>
          <w:b/>
          <w:sz w:val="28"/>
          <w:szCs w:val="28"/>
          <w:lang w:val="en-US"/>
        </w:rPr>
        <w:t>20</w:t>
      </w:r>
      <w:r>
        <w:rPr>
          <w:rFonts w:ascii="Sylfaen" w:hAnsi="Sylfaen"/>
          <w:b/>
          <w:sz w:val="28"/>
          <w:szCs w:val="28"/>
          <w:lang w:val="ka-GE"/>
        </w:rPr>
        <w:t>-20</w:t>
      </w:r>
      <w:r>
        <w:rPr>
          <w:rFonts w:ascii="Sylfaen" w:hAnsi="Sylfaen"/>
          <w:b/>
          <w:sz w:val="28"/>
          <w:szCs w:val="28"/>
          <w:lang w:val="en-US"/>
        </w:rPr>
        <w:t>21</w:t>
      </w:r>
      <w:r>
        <w:rPr>
          <w:rFonts w:ascii="Sylfaen" w:hAnsi="Sylfaen"/>
          <w:b/>
          <w:sz w:val="28"/>
          <w:szCs w:val="28"/>
          <w:lang w:val="ka-GE"/>
        </w:rPr>
        <w:t xml:space="preserve"> სასწავლო წელი</w:t>
      </w:r>
    </w:p>
    <w:p w14:paraId="513F14AB" w14:textId="53AE5FF6" w:rsidR="00E24893" w:rsidRDefault="00E24893" w:rsidP="00E24893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მისაღები გამოცდის საკითხები „ფილოლოგიის“ </w:t>
      </w:r>
      <w:r w:rsidR="004126B8">
        <w:rPr>
          <w:rFonts w:ascii="Sylfaen" w:hAnsi="Sylfaen"/>
          <w:b/>
          <w:sz w:val="28"/>
          <w:szCs w:val="28"/>
          <w:lang w:val="ka-GE"/>
        </w:rPr>
        <w:t>სადოქ</w:t>
      </w:r>
      <w:r>
        <w:rPr>
          <w:rFonts w:ascii="Sylfaen" w:hAnsi="Sylfaen"/>
          <w:b/>
          <w:sz w:val="28"/>
          <w:szCs w:val="28"/>
          <w:lang w:val="ka-GE"/>
        </w:rPr>
        <w:t>ტორო პროგრამაზე</w:t>
      </w:r>
    </w:p>
    <w:p w14:paraId="5B45D912" w14:textId="3FD78306" w:rsidR="0078061E" w:rsidRPr="00E24893" w:rsidRDefault="00E24893" w:rsidP="00E2489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E24893">
        <w:rPr>
          <w:rFonts w:ascii="Sylfaen" w:hAnsi="Sylfaen"/>
          <w:b/>
          <w:sz w:val="24"/>
          <w:szCs w:val="24"/>
          <w:lang w:val="ka-GE"/>
        </w:rPr>
        <w:t>საკვლევი მიმართულება:  კლასიკური ფილოლოგია</w:t>
      </w:r>
      <w:r w:rsidR="0078061E" w:rsidRPr="00E24893">
        <w:rPr>
          <w:rFonts w:ascii="Sylfaen" w:eastAsia="Times New Roman" w:hAnsi="Sylfaen" w:cs="Times New Roman"/>
          <w:b/>
          <w:bCs/>
          <w:color w:val="000000"/>
          <w:sz w:val="24"/>
          <w:szCs w:val="24"/>
          <w:shd w:val="clear" w:color="auto" w:fill="FFFFFF"/>
          <w:lang w:val="ka-GE" w:eastAsia="ru-RU"/>
        </w:rPr>
        <w:t> </w:t>
      </w:r>
    </w:p>
    <w:p w14:paraId="21A56EA4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ბერძნული ლიტერატურის როლისა და მნიშვნელობის შესახებ;</w:t>
      </w:r>
    </w:p>
    <w:p w14:paraId="62926105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გეომეტრიული რენესანსის ეპოქის ლიტერატურა;</w:t>
      </w:r>
    </w:p>
    <w:p w14:paraId="24A0D5AF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eastAsia="ru-RU"/>
        </w:rPr>
        <w:t>ჰომეროსის ეპოსის პრობლემური საკითხები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;</w:t>
      </w:r>
    </w:p>
    <w:p w14:paraId="49325E62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ჰომეროსის პოემების ერთიანობის საკითხი;</w:t>
      </w:r>
    </w:p>
    <w:p w14:paraId="2C5BBE34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ტრადიციული და ნოვატორული ჰომეროსთან;</w:t>
      </w:r>
    </w:p>
    <w:p w14:paraId="569C9A3F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არქაული ეპოქის ლიტერატურა;</w:t>
      </w:r>
    </w:p>
    <w:p w14:paraId="50D6360E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eastAsia="ru-RU"/>
        </w:rPr>
        <w:t>ჰესიოდეს სუბიექტური ნაკადი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;</w:t>
      </w:r>
    </w:p>
    <w:p w14:paraId="44E4A8C1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ჰესიოდეს შემოქმედება;</w:t>
      </w:r>
    </w:p>
    <w:p w14:paraId="132ABCA6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Times New Roman"/>
          <w:color w:val="222222"/>
          <w:sz w:val="20"/>
          <w:szCs w:val="20"/>
          <w:shd w:val="clear" w:color="auto" w:fill="FFFFFF"/>
          <w:lang w:val="ka-GE" w:eastAsia="ru-RU"/>
        </w:rPr>
        <w:t> 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eastAsia="ru-RU"/>
        </w:rPr>
        <w:t>ლირიკის ჟანრის განსაზღვრისათვის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;</w:t>
      </w:r>
    </w:p>
    <w:p w14:paraId="6993D92F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Times New Roman"/>
          <w:color w:val="222222"/>
          <w:sz w:val="20"/>
          <w:szCs w:val="20"/>
          <w:shd w:val="clear" w:color="auto" w:fill="FFFFFF"/>
          <w:lang w:val="ka-GE" w:eastAsia="ru-RU"/>
        </w:rPr>
        <w:t> 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eastAsia="ru-RU"/>
        </w:rPr>
        <w:t>საპფოს პოეტური მოდელი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;</w:t>
      </w:r>
    </w:p>
    <w:p w14:paraId="67FFD8B5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eastAsia="ru-RU"/>
        </w:rPr>
        <w:t>ბერძნული ლიტერატურის კლასიკის პერიოდი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;</w:t>
      </w:r>
    </w:p>
    <w:p w14:paraId="5D298286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ძვ.წ. მე-5-4 სს.-ის ბერძნული ლიტერატურა;</w:t>
      </w:r>
    </w:p>
    <w:p w14:paraId="1C8148AA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დრამის წარმოშობა და განვითარება;</w:t>
      </w:r>
    </w:p>
    <w:p w14:paraId="26CD7082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კათარსისის ფუნქცია ძველბერძნულ დრამაში;</w:t>
      </w:r>
    </w:p>
    <w:p w14:paraId="32620165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Times New Roman"/>
          <w:color w:val="222222"/>
          <w:sz w:val="20"/>
          <w:szCs w:val="20"/>
          <w:shd w:val="clear" w:color="auto" w:fill="FFFFFF"/>
          <w:lang w:val="ka-GE" w:eastAsia="ru-RU"/>
        </w:rPr>
        <w:t> 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eastAsia="ru-RU"/>
        </w:rPr>
        <w:t>ტრაგიზმის არსი ბერძენ დრამატურგებთან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;</w:t>
      </w:r>
    </w:p>
    <w:p w14:paraId="74DC552F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კომედიის არსი ძველბერძნულ კომედიაში;</w:t>
      </w:r>
    </w:p>
    <w:p w14:paraId="43BCCF94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eastAsia="ru-RU"/>
        </w:rPr>
        <w:t>არისტოფანეს მსოფლაღქმის ძირითადი ასპექტები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;</w:t>
      </w:r>
    </w:p>
    <w:p w14:paraId="3D7442FF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eastAsia="ru-RU"/>
        </w:rPr>
        <w:t>ელინისტური პერიოდის ლიტერატურის პრობლემური საკითხები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;</w:t>
      </w:r>
    </w:p>
    <w:p w14:paraId="303B0F7F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არგონავტიკა. მითი და ლიტერატურა.</w:t>
      </w:r>
    </w:p>
    <w:p w14:paraId="64CE5353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eastAsia="ru-RU"/>
        </w:rPr>
        <w:t>აპოლონიოს როდოსელის „არგონავტიკა“ როგორც ისტორიული წყარო და 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br/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eastAsia="ru-RU"/>
        </w:rPr>
        <w:t>მხატვრული ნაწარმოები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;</w:t>
      </w:r>
    </w:p>
    <w:p w14:paraId="5A5F8F56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რომაული ლიტერატურის მნიშვნელობის შესახებ;</w:t>
      </w:r>
    </w:p>
    <w:p w14:paraId="1F0ABD92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eastAsia="ru-RU"/>
        </w:rPr>
        <w:t>რესპუბლიკის პერიოდის რომაული ლიტერატურა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;</w:t>
      </w:r>
    </w:p>
    <w:p w14:paraId="7A175005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Times New Roman"/>
          <w:color w:val="222222"/>
          <w:sz w:val="20"/>
          <w:szCs w:val="20"/>
          <w:shd w:val="clear" w:color="auto" w:fill="FFFFFF"/>
          <w:lang w:val="ka-GE" w:eastAsia="ru-RU"/>
        </w:rPr>
        <w:t> </w:t>
      </w: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რომაული ლიტერატურის კლასიკის პერიოდის თავისებურებანი;</w:t>
      </w:r>
    </w:p>
    <w:p w14:paraId="6B65C2AE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ძვ.წ. პირველი საუკუნის რომაული ლიტერატურა;</w:t>
      </w:r>
    </w:p>
    <w:p w14:paraId="39EA7895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ვერგილიუსი, ჰორაციუსი, ოვიდიუსი;</w:t>
      </w:r>
    </w:p>
    <w:p w14:paraId="7320D134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ძველი ბერძნული ენის საერთაშორისო მნიშვნელობა;</w:t>
      </w:r>
    </w:p>
    <w:p w14:paraId="4D06B95E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ბერძნული ლიტერატურული დიალექტები;</w:t>
      </w:r>
    </w:p>
    <w:p w14:paraId="16022032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ბერძნული ლექსთწყობის საკითხები;</w:t>
      </w:r>
    </w:p>
    <w:p w14:paraId="6A99D7DB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რომაული ლექსთწყობის საკითხები;</w:t>
      </w:r>
    </w:p>
    <w:p w14:paraId="2AFAE784" w14:textId="77777777" w:rsidR="0078061E" w:rsidRDefault="0078061E" w:rsidP="0078061E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ლათინური ენის საერთაშორისო მნიშვნელობა;</w:t>
      </w:r>
    </w:p>
    <w:p w14:paraId="76908F90" w14:textId="77777777" w:rsidR="0078061E" w:rsidRDefault="0078061E" w:rsidP="0078061E">
      <w:pPr>
        <w:spacing w:before="100" w:beforeAutospacing="1" w:after="100" w:afterAutospacing="1" w:line="240" w:lineRule="auto"/>
        <w:rPr>
          <w:rFonts w:ascii="Sylfaen" w:eastAsia="Times New Roman" w:hAnsi="Sylfaen" w:cs="Arial"/>
          <w:color w:val="222222"/>
          <w:sz w:val="20"/>
          <w:szCs w:val="20"/>
          <w:shd w:val="clear" w:color="auto" w:fill="FFFFFF"/>
          <w:lang w:val="ka-GE" w:eastAsia="ru-RU"/>
        </w:rPr>
      </w:pPr>
      <w:r>
        <w:rPr>
          <w:rFonts w:ascii="Sylfaen" w:eastAsia="Times New Roman" w:hAnsi="Sylfaen" w:cs="Arial"/>
          <w:color w:val="000000"/>
          <w:sz w:val="20"/>
          <w:szCs w:val="20"/>
          <w:shd w:val="clear" w:color="auto" w:fill="FFFFFF"/>
          <w:lang w:val="ka-GE" w:eastAsia="ru-RU"/>
        </w:rPr>
        <w:t> </w:t>
      </w:r>
      <w:r>
        <w:rPr>
          <w:rFonts w:ascii="Sylfaen" w:eastAsia="Times New Roman" w:hAnsi="Sylfaen" w:cs="Times New Roman"/>
          <w:color w:val="222222"/>
          <w:sz w:val="20"/>
          <w:szCs w:val="20"/>
          <w:shd w:val="clear" w:color="auto" w:fill="FFFFFF"/>
          <w:lang w:val="ka-GE" w:eastAsia="ru-RU"/>
        </w:rPr>
        <w:t>თითო ბილეთში შევა სამი საკითხი.</w:t>
      </w:r>
    </w:p>
    <w:p w14:paraId="22E074A3" w14:textId="77777777" w:rsidR="0078061E" w:rsidRDefault="0078061E" w:rsidP="004126B8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</w:pPr>
      <w:r>
        <w:rPr>
          <w:rFonts w:ascii="Sylfaen" w:eastAsia="Times New Roman" w:hAnsi="Sylfaen" w:cs="Arial"/>
          <w:b/>
          <w:bCs/>
          <w:color w:val="000000"/>
          <w:sz w:val="20"/>
          <w:szCs w:val="20"/>
          <w:lang w:val="ka-GE" w:eastAsia="ru-RU"/>
        </w:rPr>
        <w:t>ლიტერატურა: 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t>1. რ. გორდეზიანი, ბერძნული ლიტერატურა, ელინური ეპოქის ეპოსი, ლირიკა, დრამა, თბილისი 2010; 2. ავტორთა კოლექტივი, ანტიკური ლიტერატურა, თბილისი 2009²; 3. ანტიკური ლიტერატურის ანთოლოგია I, საბერძნეთი, თბილისი 2009;  4.. ანტიკური ლიტერატურის ანთოლოგია II, საბერძნეთი, თბილისი 2009;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br/>
        <w:t> 6. ანტიკური ლიტერატურის ანთოლოგია III, რომი, თბილისი 2009; 7. თ. გიორგობიანი, ი. გაგუა, ძველი ბერძნული და ლათინური, თბილისი  2007; 8. ა. ურუშაძე, ძველი ბერძნული ენა,მეორე გამოცემა, თბილისი 1987; 9. ი. გაგუა, ლათინური ენა, თბილისი 1987;  10. ძველი ბერძნული ენა, დამხმარე სახელმძღვანელო, შეადგინა, ქართულ- ბერძნული ლექსიკონი დასავარჯიშოები დაურთო ქეთევან აბესაძემ, თბილისი 2007; 11. მ. ფხაკაძე, ლ. ბერძენიშვილი, ლათინური ენა, ტომი I-II, თბილისი 2008;  12. </w:t>
      </w:r>
      <w:r>
        <w:rPr>
          <w:rFonts w:ascii="Sylfaen" w:eastAsia="Times New Roman" w:hAnsi="Sylfaen" w:cs="Arial"/>
          <w:color w:val="222222"/>
          <w:sz w:val="20"/>
          <w:szCs w:val="20"/>
          <w:lang w:val="en-US" w:eastAsia="ru-RU"/>
        </w:rPr>
        <w:t>Τα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t> </w:t>
      </w:r>
      <w:r>
        <w:rPr>
          <w:rFonts w:ascii="Sylfaen" w:eastAsia="Times New Roman" w:hAnsi="Sylfaen" w:cs="Arial"/>
          <w:color w:val="222222"/>
          <w:sz w:val="20"/>
          <w:szCs w:val="20"/>
          <w:lang w:val="en-US" w:eastAsia="ru-RU"/>
        </w:rPr>
        <w:t>Ελληνικά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t> </w:t>
      </w:r>
      <w:r>
        <w:rPr>
          <w:rFonts w:ascii="Sylfaen" w:eastAsia="Times New Roman" w:hAnsi="Sylfaen" w:cs="Arial"/>
          <w:color w:val="222222"/>
          <w:sz w:val="20"/>
          <w:szCs w:val="20"/>
          <w:lang w:val="en-US" w:eastAsia="ru-RU"/>
        </w:rPr>
        <w:t>για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t> </w:t>
      </w:r>
      <w:r>
        <w:rPr>
          <w:rFonts w:ascii="Sylfaen" w:eastAsia="Times New Roman" w:hAnsi="Sylfaen" w:cs="Arial"/>
          <w:color w:val="222222"/>
          <w:sz w:val="20"/>
          <w:szCs w:val="20"/>
          <w:lang w:val="en-US" w:eastAsia="ru-RU"/>
        </w:rPr>
        <w:t>ξενόγλωσσους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t>, </w:t>
      </w:r>
      <w:r>
        <w:rPr>
          <w:rFonts w:ascii="Sylfaen" w:eastAsia="Times New Roman" w:hAnsi="Sylfaen" w:cs="Arial"/>
          <w:color w:val="222222"/>
          <w:sz w:val="20"/>
          <w:szCs w:val="20"/>
          <w:lang w:val="en-US" w:eastAsia="ru-RU"/>
        </w:rPr>
        <w:t>Σαπφώ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t> </w:t>
      </w:r>
      <w:r>
        <w:rPr>
          <w:rFonts w:ascii="Sylfaen" w:eastAsia="Times New Roman" w:hAnsi="Sylfaen" w:cs="Arial"/>
          <w:color w:val="222222"/>
          <w:sz w:val="20"/>
          <w:szCs w:val="20"/>
          <w:lang w:val="en-US" w:eastAsia="ru-RU"/>
        </w:rPr>
        <w:t>Μαρούλια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t>,</w:t>
      </w:r>
      <w:r>
        <w:rPr>
          <w:rFonts w:ascii="Sylfaen" w:eastAsia="Times New Roman" w:hAnsi="Sylfaen" w:cs="Arial"/>
          <w:color w:val="222222"/>
          <w:sz w:val="20"/>
          <w:szCs w:val="20"/>
          <w:lang w:val="en-US" w:eastAsia="ru-RU"/>
        </w:rPr>
        <w:t>Ευαγγελία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t> </w:t>
      </w:r>
      <w:r>
        <w:rPr>
          <w:rFonts w:ascii="Sylfaen" w:eastAsia="Times New Roman" w:hAnsi="Sylfaen" w:cs="Arial"/>
          <w:color w:val="222222"/>
          <w:sz w:val="20"/>
          <w:szCs w:val="20"/>
          <w:lang w:val="en-US" w:eastAsia="ru-RU"/>
        </w:rPr>
        <w:t>Γεωργαντζή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t>, </w:t>
      </w:r>
      <w:r>
        <w:rPr>
          <w:rFonts w:ascii="Sylfaen" w:eastAsia="Times New Roman" w:hAnsi="Sylfaen" w:cs="Arial"/>
          <w:color w:val="222222"/>
          <w:sz w:val="20"/>
          <w:szCs w:val="20"/>
          <w:lang w:val="en-US" w:eastAsia="ru-RU"/>
        </w:rPr>
        <w:t>Αθήνα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t>, </w:t>
      </w:r>
      <w:r>
        <w:rPr>
          <w:rFonts w:ascii="Sylfaen" w:eastAsia="Times New Roman" w:hAnsi="Sylfaen" w:cs="Arial"/>
          <w:color w:val="222222"/>
          <w:sz w:val="20"/>
          <w:szCs w:val="20"/>
          <w:lang w:val="en-US" w:eastAsia="ru-RU"/>
        </w:rPr>
        <w:t>Ι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t>,</w:t>
      </w:r>
      <w:r>
        <w:rPr>
          <w:rFonts w:ascii="Sylfaen" w:eastAsia="Times New Roman" w:hAnsi="Sylfaen" w:cs="Arial"/>
          <w:color w:val="222222"/>
          <w:sz w:val="20"/>
          <w:szCs w:val="20"/>
          <w:lang w:val="en-US" w:eastAsia="ru-RU"/>
        </w:rPr>
        <w:t>ΙΙ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t xml:space="preserve">, </w:t>
      </w:r>
      <w:r>
        <w:rPr>
          <w:rFonts w:ascii="Sylfaen" w:eastAsia="Times New Roman" w:hAnsi="Sylfaen" w:cs="Arial"/>
          <w:color w:val="222222"/>
          <w:sz w:val="20"/>
          <w:szCs w:val="20"/>
          <w:lang w:val="en-US" w:eastAsia="ru-RU"/>
        </w:rPr>
        <w:t>ΙΙΙ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t> </w:t>
      </w:r>
      <w:r>
        <w:rPr>
          <w:rFonts w:ascii="Sylfaen" w:eastAsia="Times New Roman" w:hAnsi="Sylfaen" w:cs="Arial"/>
          <w:color w:val="222222"/>
          <w:sz w:val="20"/>
          <w:szCs w:val="20"/>
          <w:lang w:val="en-US" w:eastAsia="ru-RU"/>
        </w:rPr>
        <w:t>τόμοι</w:t>
      </w:r>
      <w:r>
        <w:rPr>
          <w:rFonts w:ascii="Sylfaen" w:eastAsia="Times New Roman" w:hAnsi="Sylfaen" w:cs="Arial"/>
          <w:color w:val="222222"/>
          <w:sz w:val="20"/>
          <w:szCs w:val="20"/>
          <w:lang w:val="ka-GE" w:eastAsia="ru-RU"/>
        </w:rPr>
        <w:t>, 2003.</w:t>
      </w:r>
    </w:p>
    <w:p w14:paraId="6CC8B7B4" w14:textId="77777777" w:rsidR="007D7E9F" w:rsidRPr="0078061E" w:rsidRDefault="007D7E9F">
      <w:pPr>
        <w:rPr>
          <w:lang w:val="ka-GE"/>
        </w:rPr>
      </w:pPr>
    </w:p>
    <w:sectPr w:rsidR="007D7E9F" w:rsidRPr="0078061E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079FC"/>
    <w:multiLevelType w:val="hybridMultilevel"/>
    <w:tmpl w:val="6CAC8528"/>
    <w:lvl w:ilvl="0" w:tplc="BD700C54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524"/>
    <w:rsid w:val="003B0524"/>
    <w:rsid w:val="004126B8"/>
    <w:rsid w:val="0078061E"/>
    <w:rsid w:val="007C396F"/>
    <w:rsid w:val="007D7E9F"/>
    <w:rsid w:val="00DA3C7F"/>
    <w:rsid w:val="00E2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CB381"/>
  <w15:chartTrackingRefBased/>
  <w15:docId w15:val="{18743239-CDAD-43D6-8667-3FEF5C82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61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3C7F"/>
    <w:pPr>
      <w:spacing w:line="256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1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Chikhladze</dc:creator>
  <cp:keywords/>
  <dc:description/>
  <cp:lastModifiedBy>Teimuraz Surguladze</cp:lastModifiedBy>
  <cp:revision>2</cp:revision>
  <dcterms:created xsi:type="dcterms:W3CDTF">2020-09-11T09:06:00Z</dcterms:created>
  <dcterms:modified xsi:type="dcterms:W3CDTF">2020-09-11T09:06:00Z</dcterms:modified>
</cp:coreProperties>
</file>