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4C0566" w:rsidRDefault="00324C79" w:rsidP="00935093">
      <w:pPr>
        <w:shd w:val="clear" w:color="auto" w:fill="E5DFEC" w:themeFill="accent4" w:themeFillTint="33"/>
      </w:pPr>
      <w:r w:rsidRPr="004C0566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4C0566" w:rsidRDefault="003B5FF9" w:rsidP="00D7510C">
      <w:pPr>
        <w:spacing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4C0566">
        <w:rPr>
          <w:rFonts w:ascii="Sylfaen" w:hAnsi="Sylfaen" w:cs="Sylfaen"/>
          <w:b/>
          <w:bCs/>
          <w:lang w:val="ka-GE"/>
        </w:rPr>
        <w:t>კურიკულუმი</w:t>
      </w:r>
    </w:p>
    <w:p w:rsidR="00920E56" w:rsidRPr="004C0566" w:rsidRDefault="00920E56" w:rsidP="00D7510C">
      <w:pPr>
        <w:spacing w:after="0" w:line="240" w:lineRule="auto"/>
        <w:jc w:val="center"/>
        <w:rPr>
          <w:b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4C0566" w:rsidRPr="004C0566" w:rsidTr="00835AD8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D47" w:rsidRPr="004C0566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D47" w:rsidRPr="00B641D9" w:rsidRDefault="003948BB" w:rsidP="005178C6">
            <w:pPr>
              <w:spacing w:after="0"/>
              <w:ind w:left="720" w:right="34" w:hanging="720"/>
              <w:rPr>
                <w:rFonts w:ascii="Sylfaen" w:hAnsi="Sylfaen"/>
                <w:sz w:val="20"/>
                <w:szCs w:val="20"/>
              </w:rPr>
            </w:pP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 xml:space="preserve">მშენებლობა     </w:t>
            </w:r>
            <w:r w:rsidRPr="004C0566">
              <w:rPr>
                <w:rFonts w:ascii="Sylfaen" w:hAnsi="Sylfaen"/>
                <w:sz w:val="20"/>
                <w:szCs w:val="20"/>
              </w:rPr>
              <w:t>T</w:t>
            </w: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>he construction</w:t>
            </w:r>
          </w:p>
        </w:tc>
      </w:tr>
      <w:tr w:rsidR="004C0566" w:rsidRPr="004C0566" w:rsidTr="00835AD8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858BC" w:rsidRPr="004C0566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4C0566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4C0566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8BB" w:rsidRPr="004C0566" w:rsidRDefault="005178C6" w:rsidP="003948B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5178C6">
              <w:rPr>
                <w:rFonts w:ascii="Sylfaen" w:hAnsi="Sylfaen"/>
                <w:sz w:val="20"/>
                <w:szCs w:val="20"/>
                <w:lang w:val="ka-GE"/>
              </w:rPr>
              <w:t xml:space="preserve">მშენებლობის </w:t>
            </w:r>
            <w:r w:rsidR="00A70384">
              <w:rPr>
                <w:rFonts w:ascii="Sylfaen" w:hAnsi="Sylfaen"/>
                <w:sz w:val="20"/>
                <w:szCs w:val="20"/>
                <w:lang w:val="ka-GE"/>
              </w:rPr>
              <w:t xml:space="preserve">ინჟინერიის </w:t>
            </w:r>
            <w:r w:rsidR="00A70384" w:rsidRPr="004C0566">
              <w:rPr>
                <w:rFonts w:ascii="Sylfaen" w:hAnsi="Sylfaen"/>
                <w:sz w:val="20"/>
                <w:szCs w:val="20"/>
                <w:lang w:val="ka-GE"/>
              </w:rPr>
              <w:t>ბაკალავრი</w:t>
            </w:r>
            <w:r w:rsidR="003948BB" w:rsidRPr="004C0566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  <w:p w:rsidR="00761D47" w:rsidRPr="004C0566" w:rsidRDefault="005178C6" w:rsidP="005178C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Bachelor in </w:t>
            </w:r>
            <w:r w:rsidR="003948BB" w:rsidRPr="004C0566">
              <w:rPr>
                <w:rFonts w:ascii="Sylfaen" w:hAnsi="Sylfaen"/>
                <w:sz w:val="20"/>
                <w:szCs w:val="20"/>
                <w:lang w:val="ka-GE"/>
              </w:rPr>
              <w:t xml:space="preserve">The </w:t>
            </w:r>
            <w:r w:rsidRPr="005178C6">
              <w:rPr>
                <w:rFonts w:ascii="Sylfaen" w:hAnsi="Sylfaen"/>
                <w:sz w:val="20"/>
                <w:szCs w:val="20"/>
                <w:lang w:val="ka-GE"/>
              </w:rPr>
              <w:t xml:space="preserve"> Construction Engineering</w:t>
            </w:r>
          </w:p>
        </w:tc>
      </w:tr>
      <w:tr w:rsidR="004C0566" w:rsidRPr="004C0566" w:rsidTr="00835AD8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D47" w:rsidRPr="004C0566" w:rsidRDefault="00761D47" w:rsidP="0055084E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D47" w:rsidRPr="004C0566" w:rsidRDefault="003948BB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>საინჟ</w:t>
            </w:r>
            <w:r w:rsidR="00A70384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>ნრო ტექნიკური</w:t>
            </w:r>
          </w:p>
        </w:tc>
      </w:tr>
      <w:tr w:rsidR="004C0566" w:rsidRPr="005E087A" w:rsidTr="00835AD8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D47" w:rsidRPr="004C0566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4C0566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D47" w:rsidRDefault="00835AD8" w:rsidP="003948B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ასოცირებული </w:t>
            </w:r>
            <w:r w:rsidR="003948BB" w:rsidRPr="004C0566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პროფესორი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პაატა გერაძე</w:t>
            </w:r>
          </w:p>
          <w:p w:rsidR="007100D6" w:rsidRPr="00F279B3" w:rsidRDefault="009E400A" w:rsidP="003948B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="007100D6" w:rsidRPr="00F279B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Paata.geradze@atsu.edu.ge</w:t>
              </w:r>
            </w:hyperlink>
            <w:r w:rsidR="007100D6" w:rsidRPr="00F279B3">
              <w:rPr>
                <w:rFonts w:ascii="Sylfaen" w:hAnsi="Sylfaen"/>
                <w:sz w:val="20"/>
                <w:szCs w:val="20"/>
                <w:lang w:val="ka-GE"/>
              </w:rPr>
              <w:t xml:space="preserve">  T:  577 13 15 83</w:t>
            </w:r>
          </w:p>
          <w:p w:rsidR="003948BB" w:rsidRPr="004C0566" w:rsidRDefault="003948BB" w:rsidP="003948B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C0566" w:rsidRPr="004C0566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C0566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4C0566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4C0566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4C0566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4C0566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47376" w:rsidRPr="00835AD8" w:rsidRDefault="00747376" w:rsidP="00A2396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35AD8">
              <w:rPr>
                <w:rFonts w:ascii="Sylfaen" w:hAnsi="Sylfaen"/>
                <w:sz w:val="20"/>
                <w:szCs w:val="20"/>
                <w:lang w:val="ka-GE"/>
              </w:rPr>
              <w:t>4 სასწავლო წელი</w:t>
            </w:r>
            <w:r w:rsidR="00835AD8" w:rsidRPr="00835AD8">
              <w:rPr>
                <w:rFonts w:ascii="Sylfaen" w:hAnsi="Sylfaen"/>
                <w:sz w:val="20"/>
                <w:szCs w:val="20"/>
                <w:lang w:val="ka-GE"/>
              </w:rPr>
              <w:t>, 8 სემესტრი</w:t>
            </w:r>
          </w:p>
          <w:p w:rsidR="003F0E07" w:rsidRPr="00835AD8" w:rsidRDefault="003F0E07" w:rsidP="00A2396B">
            <w:pPr>
              <w:spacing w:after="0" w:line="240" w:lineRule="auto"/>
              <w:jc w:val="both"/>
              <w:rPr>
                <w:rFonts w:ascii="Sylfaen" w:hAnsi="Sylfaen" w:cs="Geo_WWW_Times"/>
                <w:b/>
                <w:sz w:val="20"/>
                <w:szCs w:val="20"/>
                <w:lang w:val="ka-GE"/>
              </w:rPr>
            </w:pPr>
            <w:r w:rsidRPr="00835AD8">
              <w:rPr>
                <w:rFonts w:ascii="Sylfaen" w:hAnsi="Sylfaen"/>
                <w:sz w:val="20"/>
                <w:szCs w:val="20"/>
                <w:lang w:val="ka-GE"/>
              </w:rPr>
              <w:t>240 კრედიტი</w:t>
            </w:r>
          </w:p>
          <w:p w:rsidR="003F0E07" w:rsidRPr="00835AD8" w:rsidRDefault="003F0E07" w:rsidP="00747376">
            <w:pPr>
              <w:jc w:val="both"/>
              <w:rPr>
                <w:rFonts w:ascii="Sylfaen" w:hAnsi="Sylfaen" w:cs="Geo_WWW_Times"/>
                <w:sz w:val="20"/>
                <w:szCs w:val="20"/>
                <w:lang w:val="af-ZA"/>
              </w:rPr>
            </w:pPr>
            <w:r w:rsidRPr="00835AD8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ერთი კრედიტი - </w:t>
            </w:r>
            <w:r w:rsidRPr="00835AD8">
              <w:rPr>
                <w:rFonts w:ascii="Sylfaen" w:hAnsi="Sylfaen" w:cs="Geo_WWW_Times"/>
                <w:sz w:val="20"/>
                <w:szCs w:val="20"/>
              </w:rPr>
              <w:t xml:space="preserve">25 ასტრონომიული საათი, </w:t>
            </w:r>
            <w:r w:rsidRPr="00835AD8">
              <w:rPr>
                <w:rFonts w:ascii="Sylfaen" w:hAnsi="Sylfaen" w:cs="Geo_WWW_Times"/>
                <w:sz w:val="20"/>
                <w:szCs w:val="20"/>
                <w:lang w:val="af-ZA"/>
              </w:rPr>
              <w:t>სულ 6000 საათი</w:t>
            </w:r>
          </w:p>
        </w:tc>
      </w:tr>
      <w:tr w:rsidR="004C0566" w:rsidRPr="004C0566" w:rsidTr="00835AD8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C0566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D47" w:rsidRPr="004C0566" w:rsidRDefault="0047286A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4C0566" w:rsidRPr="004C0566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C0566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4C05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0384" w:rsidRDefault="00A70384" w:rsidP="00AE1AE5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 w:rsidRPr="006166E7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70384">
              <w:rPr>
                <w:rFonts w:ascii="Sylfaen" w:hAnsi="Sylfaen"/>
                <w:sz w:val="20"/>
                <w:szCs w:val="20"/>
                <w:lang w:val="ka-GE"/>
              </w:rPr>
              <w:t>714272, 1.07.2021</w:t>
            </w:r>
          </w:p>
          <w:p w:rsidR="00B45417" w:rsidRDefault="00B45417" w:rsidP="00B45417">
            <w:pPr>
              <w:spacing w:after="0"/>
              <w:rPr>
                <w:rFonts w:ascii="Sylfaen" w:hAnsi="Sylfaen" w:cs="Calibri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ფაკულტეტის საბჭოს გადაწყვეტილება: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№6,       20.07.21</w:t>
            </w:r>
          </w:p>
          <w:p w:rsidR="00A70384" w:rsidRPr="004C0566" w:rsidRDefault="00B45417" w:rsidP="00B4541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გადაწყვეტილება №</w:t>
            </w:r>
            <w:r>
              <w:rPr>
                <w:rFonts w:ascii="Sylfaen" w:hAnsi="Sylfaen"/>
                <w:sz w:val="20"/>
                <w:szCs w:val="20"/>
              </w:rPr>
              <w:t>1 (21/22)       17.0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.2021</w:t>
            </w:r>
          </w:p>
        </w:tc>
      </w:tr>
      <w:tr w:rsidR="004C0566" w:rsidRPr="004C0566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C0566" w:rsidRDefault="00761D47" w:rsidP="006858B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4C0566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4C0566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4C0566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4C0566" w:rsidRPr="004C0566" w:rsidTr="00146375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1F7D" w:rsidRPr="00592AA7" w:rsidRDefault="00592AA7" w:rsidP="0059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სრული ზოგადი განათლების დამადასტურებელი დოკუმენტი - ატესტატი და ერთიანი ეროვნული გამოცდების შედეგები.</w:t>
            </w:r>
          </w:p>
          <w:p w:rsidR="00592AA7" w:rsidRPr="00592AA7" w:rsidRDefault="00592AA7" w:rsidP="0059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92AA7">
              <w:rPr>
                <w:rFonts w:ascii="Sylfaen" w:hAnsi="Sylfaen" w:cs="Sylfaen"/>
                <w:sz w:val="20"/>
                <w:szCs w:val="20"/>
              </w:rPr>
              <w:t xml:space="preserve">სტუდენტის სტატუსის მოპოვება ერთიანი ეროვნული გამოცდების გავლის გარეშებაკალავრიატის/ერთსაფეხურიან საგანმანათლებლო პროგრამაზე შესაძლებელიასაქართველოს განათლებისა და მეცნიერების მინისტრის ბრძანების </w:t>
            </w:r>
            <w:proofErr w:type="gramStart"/>
            <w:r w:rsidRPr="00592AA7">
              <w:rPr>
                <w:rFonts w:ascii="Sylfaen" w:hAnsi="Sylfaen" w:cs="Sylfaen"/>
                <w:sz w:val="20"/>
                <w:szCs w:val="20"/>
              </w:rPr>
              <w:t>საფუძველზე,საქართველოს</w:t>
            </w:r>
            <w:proofErr w:type="gramEnd"/>
            <w:r w:rsidRPr="00592AA7">
              <w:rPr>
                <w:rFonts w:ascii="Sylfaen" w:hAnsi="Sylfaen" w:cs="Sylfaen"/>
                <w:sz w:val="20"/>
                <w:szCs w:val="20"/>
              </w:rPr>
              <w:t xml:space="preserve"> კანონმდებლობით გათვალისწინებულ შემდეგ შემთხვევებში:</w:t>
            </w:r>
          </w:p>
          <w:p w:rsidR="00592AA7" w:rsidRPr="00592AA7" w:rsidRDefault="00592AA7" w:rsidP="0059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92AA7">
              <w:rPr>
                <w:rFonts w:ascii="Sylfaen" w:hAnsi="Sylfaen" w:cs="Sylfaen"/>
                <w:sz w:val="20"/>
                <w:szCs w:val="20"/>
              </w:rPr>
              <w:t xml:space="preserve">ა) უცხო ქვეყნის მოქალაქეებისათვის და მოქალაქეობის არმქონე </w:t>
            </w:r>
            <w:proofErr w:type="gramStart"/>
            <w:r w:rsidRPr="00592AA7">
              <w:rPr>
                <w:rFonts w:ascii="Sylfaen" w:hAnsi="Sylfaen" w:cs="Sylfaen"/>
                <w:sz w:val="20"/>
                <w:szCs w:val="20"/>
              </w:rPr>
              <w:t>პირებისათვის,რომლებმაც</w:t>
            </w:r>
            <w:proofErr w:type="gramEnd"/>
            <w:r w:rsidRPr="00592AA7">
              <w:rPr>
                <w:rFonts w:ascii="Sylfaen" w:hAnsi="Sylfaen" w:cs="Sylfaen"/>
                <w:sz w:val="20"/>
                <w:szCs w:val="20"/>
              </w:rPr>
              <w:t xml:space="preserve"> უცხო ქვეყანაში მიიღეს სრული ზოგადი ან მისი ეკვივალენტურიგანათლება;</w:t>
            </w:r>
          </w:p>
          <w:p w:rsidR="00592AA7" w:rsidRPr="00592AA7" w:rsidRDefault="00592AA7" w:rsidP="0059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92AA7">
              <w:rPr>
                <w:rFonts w:ascii="Sylfaen" w:hAnsi="Sylfaen" w:cs="Sylfaen"/>
                <w:sz w:val="20"/>
                <w:szCs w:val="20"/>
              </w:rPr>
              <w:t>ბ) საქართველოს მოქალაქეებისათვის, რომლებმაც უცხო ქვეყანაში მიიღეს სრულიზოგადი ან მისი ეკვივალენტური განათლება და სრული ზოგადი განათლებისბოლო 2 წელი ისწავლეს უცხო ქვეყანაში;</w:t>
            </w:r>
          </w:p>
          <w:p w:rsidR="00592AA7" w:rsidRPr="00592AA7" w:rsidRDefault="00592AA7" w:rsidP="0059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592AA7">
              <w:rPr>
                <w:rFonts w:ascii="Sylfaen" w:hAnsi="Sylfaen" w:cs="Sylfaen"/>
                <w:sz w:val="20"/>
                <w:szCs w:val="20"/>
              </w:rPr>
              <w:t>გ) პირებისათვის (გარდა ერთობლივი უმაღლესი საგანმანათლებლო პროგრამისმონაწილე სტუდენტებისა და გაცვლითი საგანმანათლებლო პროგრამის მონაწილესტუდენტებისა), რომლებიც უცხო ქვეყანაში ცხოვრობდნენ ბოლო 1 წლის ან მეტიხნის განმავლობაში, სწავლობენ/სწავლობდნენ და მიღებული აქვთკრედიტები/კვალიფიკაცია უცხო ქვეყანაში ამ ქვეყნის კანონმდებლობისშესაბამისად აღიარებულ უმაღლეს საგანმანათლებლო დაწესებულებაში.</w:t>
            </w:r>
          </w:p>
        </w:tc>
      </w:tr>
      <w:tr w:rsidR="004C0566" w:rsidRPr="004C056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C0566" w:rsidRDefault="00761D47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</w:p>
        </w:tc>
      </w:tr>
      <w:tr w:rsidR="004C0566" w:rsidRPr="004C0566" w:rsidTr="00FA1FD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00A5C" w:rsidRPr="004C0566" w:rsidRDefault="00500A5C" w:rsidP="00AE1AE5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ზოგადსაინჟინრო და სპეციალურ 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დისციპლინებში</w:t>
            </w:r>
            <w:r w:rsidR="00AE1AE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ცოდნ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ის </w:t>
            </w:r>
            <w:r w:rsidR="00AE1AE5">
              <w:rPr>
                <w:rFonts w:ascii="Sylfaen" w:hAnsi="Sylfaen" w:cs="Sylfaen"/>
                <w:sz w:val="20"/>
                <w:szCs w:val="20"/>
                <w:lang w:val="ka-GE"/>
              </w:rPr>
              <w:t>მიცემა და პრაქტიკული</w:t>
            </w:r>
            <w:r w:rsidR="00AE1AE5"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უნარ-ჩვევები</w:t>
            </w:r>
            <w:r w:rsidR="00AE1AE5">
              <w:rPr>
                <w:rFonts w:ascii="Sylfaen" w:hAnsi="Sylfaen" w:cs="Sylfaen"/>
                <w:sz w:val="20"/>
                <w:szCs w:val="20"/>
                <w:lang w:val="ka-GE"/>
              </w:rPr>
              <w:t>ს გამომუშავება, რათა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AE1AE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1C1EF0" w:rsidRPr="001C1EF0">
              <w:rPr>
                <w:rFonts w:ascii="Sylfaen" w:hAnsi="Sylfaen" w:cs="Sylfaen"/>
                <w:sz w:val="20"/>
                <w:szCs w:val="20"/>
                <w:lang w:val="ka-GE"/>
              </w:rPr>
              <w:t>მშენებლობის ინჟინერი</w:t>
            </w:r>
            <w:r w:rsidR="00AE1AE5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AE1AE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E1AE5"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ბაკალავრ</w:t>
            </w:r>
            <w:r w:rsidR="00AE1AE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 შეძლოს </w:t>
            </w:r>
            <w:r w:rsidR="00AE1AE5"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შუ</w:t>
            </w:r>
            <w:r w:rsidR="00AE1AE5"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AE1AE5"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ლედური</w:t>
            </w:r>
            <w:r w:rsidR="00AE1AE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AE1AE5"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რგოლის სპეციალისტის ფუნქციების შესრულება</w:t>
            </w:r>
            <w:r w:rsidR="00AE1AE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ხვადასხვა დანიშნულების  ობიექტების პროექტირების და  მშენებლობის პროცესში. </w:t>
            </w:r>
            <w:r w:rsidR="00A750CA">
              <w:rPr>
                <w:rFonts w:ascii="Sylfaen" w:hAnsi="Sylfaen" w:cs="Sylfaen"/>
                <w:sz w:val="20"/>
                <w:szCs w:val="20"/>
                <w:lang w:val="ka-GE"/>
              </w:rPr>
              <w:t>გამოუმუშაოს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საპროექტო და სამშენებლო წარმოებისათვის საჭირო ზოგადტრანსფერულ</w:t>
            </w:r>
            <w:r w:rsidR="00A750CA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დარგობრივ</w:t>
            </w:r>
            <w:r w:rsidR="00A750CA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კომპეტენციებ</w:t>
            </w:r>
            <w:r w:rsidR="00A750CA">
              <w:rPr>
                <w:rFonts w:ascii="Sylfaen" w:hAnsi="Sylfaen" w:cs="Sylfaen"/>
                <w:sz w:val="20"/>
                <w:szCs w:val="20"/>
                <w:lang w:val="ka-GE"/>
              </w:rPr>
              <w:t>ი,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სამშენებლო ბაზრის მოთხოვნების შესაბამისად</w:t>
            </w:r>
            <w:r w:rsidR="00F6730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AE1AE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1774B3">
              <w:rPr>
                <w:rFonts w:ascii="Sylfaen" w:hAnsi="Sylfaen" w:cs="Sylfaen"/>
                <w:sz w:val="20"/>
                <w:szCs w:val="20"/>
                <w:lang w:val="ka-GE"/>
              </w:rPr>
              <w:t>დარგის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უახლესი ტექნოლოგიების, ეკონომიკური ტენდენციების და ღირებულებების </w:t>
            </w:r>
            <w:r w:rsidR="003022AE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საქმიანობაში გამოყენების </w:t>
            </w:r>
            <w:r w:rsidR="008635DD">
              <w:rPr>
                <w:rFonts w:ascii="Sylfaen" w:hAnsi="Sylfaen" w:cs="Sylfaen"/>
                <w:sz w:val="20"/>
                <w:szCs w:val="20"/>
                <w:lang w:val="af-ZA"/>
              </w:rPr>
              <w:t>უნარი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</w:tc>
      </w:tr>
      <w:tr w:rsidR="004C0566" w:rsidRPr="004C056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C0566" w:rsidRDefault="00761D47" w:rsidP="00D7510C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სწავლისშედეგები</w:t>
            </w:r>
            <w:r w:rsidRPr="004C056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4C056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4C0566" w:rsidRPr="004C056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C0566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4C0566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7E31" w:rsidRPr="00773E32" w:rsidRDefault="003022AE" w:rsidP="00976CA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ზოგადი და ზოგადტექნიკური ცოდნის</w:t>
            </w:r>
            <w:r w:rsidR="00AE1AE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გამოყენებით </w:t>
            </w:r>
            <w:r w:rsidR="00976C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აანალიზებს </w:t>
            </w:r>
            <w:r w:rsidR="00C0536C">
              <w:rPr>
                <w:rFonts w:ascii="Sylfaen" w:hAnsi="Sylfaen" w:cs="Sylfaen"/>
                <w:sz w:val="20"/>
                <w:szCs w:val="20"/>
                <w:lang w:val="ka-GE"/>
              </w:rPr>
              <w:t>სამშენებლო ობიექტების</w:t>
            </w:r>
            <w:r w:rsidR="00177E31"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დაპროექტების,</w:t>
            </w:r>
            <w:r w:rsidR="00976C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177E31"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მშენებლობის წარმოების</w:t>
            </w:r>
            <w:r w:rsidR="00773E32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976C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0536C"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მართვის</w:t>
            </w:r>
            <w:r w:rsidR="00773E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ეკონომიკის</w:t>
            </w:r>
            <w:r w:rsidR="00177E31" w:rsidRPr="004C0566">
              <w:rPr>
                <w:rFonts w:ascii="Sylfaen" w:hAnsi="Sylfaen" w:cs="Sylfaen"/>
                <w:sz w:val="20"/>
                <w:szCs w:val="20"/>
                <w:lang w:val="ka-GE"/>
              </w:rPr>
              <w:t>, ნაგებობების ექსპლუატაციის</w:t>
            </w:r>
            <w:r w:rsidR="00A960F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177E31"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რემონტის </w:t>
            </w:r>
            <w:r w:rsidR="00773E32">
              <w:rPr>
                <w:rFonts w:ascii="Sylfaen" w:hAnsi="Sylfaen" w:cs="Sylfaen"/>
                <w:sz w:val="20"/>
                <w:szCs w:val="20"/>
                <w:lang w:val="ka-GE"/>
              </w:rPr>
              <w:t>საფუძვლების</w:t>
            </w:r>
            <w:r w:rsidR="00F200E6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976C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F200E6"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ახალი ტექნოლოგიების</w:t>
            </w:r>
            <w:r w:rsidR="00976C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73E32" w:rsidRPr="00773E32">
              <w:rPr>
                <w:rFonts w:ascii="Sylfaen" w:hAnsi="Sylfaen" w:cs="Sylfaen"/>
                <w:sz w:val="20"/>
                <w:szCs w:val="20"/>
                <w:lang w:val="ka-GE"/>
              </w:rPr>
              <w:t>თეორიულ და პრაქტიკულ მეთოდებს</w:t>
            </w:r>
            <w:r w:rsidR="00976CAF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177E31"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C7CBF" w:rsidRPr="004C0566" w:rsidTr="00A960FC">
        <w:trPr>
          <w:trHeight w:val="400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7C7CBF" w:rsidRPr="004C0566" w:rsidRDefault="007C7CBF" w:rsidP="007C7CBF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728F2" w:rsidRDefault="009728F2" w:rsidP="006E58A4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728F2">
              <w:rPr>
                <w:rFonts w:ascii="Sylfaen" w:hAnsi="Sylfaen" w:cs="Sylfaen"/>
                <w:sz w:val="20"/>
                <w:szCs w:val="20"/>
                <w:lang w:val="af-ZA"/>
              </w:rPr>
              <w:t>სამშენებლო ობიექტებზე ტექნიკური შუალედური რგოლის ფუნქციების შესრულებისათვის შეუძლია საპროექტო, მშენებლობის წარმოების, ორგანიზაციის და უსაფრთხოების უზრუნველყოფის სამუშაოთა დაგეგმვა და განხორციელება.</w:t>
            </w:r>
          </w:p>
          <w:p w:rsidR="007C7CBF" w:rsidRPr="00D13960" w:rsidRDefault="007A0EDD" w:rsidP="006E58A4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საპროექტო, </w:t>
            </w:r>
            <w:r w:rsidR="007C7CBF"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კვლევით და დაკვალვით სამუშაოებში </w:t>
            </w:r>
            <w:r w:rsidR="00ED46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იყენებს </w:t>
            </w:r>
            <w:r w:rsidR="007C7CBF"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საჭირო ინსტრუმენტებს</w:t>
            </w:r>
            <w:r w:rsidR="007C7C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="007C7CBF"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უახლეს საინფორმაციო ტექნოლოგიებს</w:t>
            </w:r>
            <w:r w:rsidR="007C7CBF" w:rsidRPr="00C372BF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7C7CBF" w:rsidRPr="00E60B69" w:rsidRDefault="007C7CBF" w:rsidP="00E60B69">
            <w:pPr>
              <w:numPr>
                <w:ilvl w:val="0"/>
                <w:numId w:val="23"/>
              </w:numPr>
              <w:spacing w:after="0" w:line="240" w:lineRule="auto"/>
              <w:ind w:left="290"/>
              <w:rPr>
                <w:sz w:val="20"/>
                <w:szCs w:val="20"/>
                <w:lang w:val="ka-GE"/>
              </w:rPr>
            </w:pPr>
            <w:r w:rsidRPr="006307A9">
              <w:rPr>
                <w:rFonts w:ascii="Sylfaen" w:hAnsi="Sylfaen" w:cs="Sylfaen"/>
                <w:sz w:val="20"/>
                <w:szCs w:val="20"/>
                <w:lang w:val="ka-GE"/>
              </w:rPr>
              <w:t>მშენებლობის</w:t>
            </w:r>
            <w:r w:rsidRPr="006307A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პროექტირების პროცესში დამხმარე ფუნქციათა შე</w:t>
            </w:r>
            <w:r w:rsidR="00114697">
              <w:rPr>
                <w:rFonts w:ascii="Sylfaen" w:hAnsi="Sylfaen" w:cs="Sylfaen"/>
                <w:sz w:val="20"/>
                <w:szCs w:val="20"/>
                <w:lang w:val="ka-GE"/>
              </w:rPr>
              <w:t>სა</w:t>
            </w:r>
            <w:r w:rsidRPr="006307A9">
              <w:rPr>
                <w:rFonts w:ascii="Sylfaen" w:hAnsi="Sylfaen" w:cs="Sylfaen"/>
                <w:sz w:val="20"/>
                <w:szCs w:val="20"/>
                <w:lang w:val="af-ZA"/>
              </w:rPr>
              <w:t>თავსებ</w:t>
            </w:r>
            <w:r w:rsidR="00114697">
              <w:rPr>
                <w:rFonts w:ascii="Sylfaen" w:hAnsi="Sylfaen" w:cs="Sylfaen"/>
                <w:sz w:val="20"/>
                <w:szCs w:val="20"/>
                <w:lang w:val="ka-GE"/>
              </w:rPr>
              <w:t>ლად</w:t>
            </w:r>
            <w:r w:rsidR="00ED46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შეუძლია</w:t>
            </w:r>
            <w:r w:rsidR="00114697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Pr="006307A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საპროექტო, </w:t>
            </w:r>
            <w:r w:rsidRPr="006307A9">
              <w:rPr>
                <w:rFonts w:ascii="Sylfaen" w:hAnsi="Sylfaen" w:cs="Sylfaen"/>
                <w:sz w:val="20"/>
                <w:szCs w:val="20"/>
                <w:lang w:val="af-ZA"/>
              </w:rPr>
              <w:t>სამუშაოთა ორგანიზაცი</w:t>
            </w:r>
            <w:r w:rsidRPr="006307A9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6307A9">
              <w:rPr>
                <w:rFonts w:ascii="Sylfaen" w:hAnsi="Sylfaen" w:cs="Sylfaen"/>
                <w:sz w:val="20"/>
                <w:szCs w:val="20"/>
                <w:lang w:val="af-ZA"/>
              </w:rPr>
              <w:t>, სახარჯთაღრიცხვო</w:t>
            </w:r>
            <w:r w:rsidR="000F620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307A9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დოკუმენტაციის დამუშავება</w:t>
            </w:r>
            <w:r w:rsidR="00482F10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0F620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05AAD">
              <w:rPr>
                <w:rFonts w:ascii="Sylfaen" w:hAnsi="Sylfaen" w:cs="Sylfaen"/>
                <w:sz w:val="20"/>
                <w:szCs w:val="20"/>
                <w:lang w:val="ka-GE"/>
              </w:rPr>
              <w:t>სამშენებლო კო</w:t>
            </w:r>
            <w:r w:rsidR="00114697"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305AA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სტრუქციების, ნაკეთობების და მასალების </w:t>
            </w:r>
            <w:r w:rsidRPr="006307A9">
              <w:rPr>
                <w:rFonts w:ascii="Sylfaen" w:hAnsi="Sylfaen" w:cs="Sylfaen"/>
                <w:sz w:val="20"/>
                <w:szCs w:val="20"/>
                <w:lang w:val="ka-GE"/>
              </w:rPr>
              <w:t>შერჩევა</w:t>
            </w:r>
            <w:r w:rsidR="0011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Pr="00C372BF">
              <w:rPr>
                <w:rFonts w:ascii="Sylfaen" w:hAnsi="Sylfaen" w:cs="Sylfaen"/>
                <w:sz w:val="20"/>
                <w:szCs w:val="20"/>
                <w:lang w:val="ka-GE"/>
              </w:rPr>
              <w:t>ინსპექტირება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7C7CBF" w:rsidRPr="00451FB8" w:rsidRDefault="00ED4691" w:rsidP="00DD2F19">
            <w:pPr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ალტერნატიული 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ვარიანტების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ანალიზის საფუძველზე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მოიძევს და ასაბუთებს </w:t>
            </w:r>
            <w:r w:rsidR="0011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პროექტირების და </w:t>
            </w:r>
            <w:r w:rsidR="007C7CBF"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მშენებლობის პროცეს</w:t>
            </w:r>
            <w:r w:rsidR="007C7CBF">
              <w:rPr>
                <w:rFonts w:ascii="Sylfaen" w:hAnsi="Sylfaen" w:cs="Sylfaen"/>
                <w:sz w:val="20"/>
                <w:szCs w:val="20"/>
                <w:lang w:val="ka-GE"/>
              </w:rPr>
              <w:t>ში წარმოქმნილი</w:t>
            </w:r>
            <w:r w:rsidR="000F620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C7CBF">
              <w:rPr>
                <w:rFonts w:ascii="Sylfaen" w:hAnsi="Sylfaen" w:cs="Sylfaen"/>
                <w:sz w:val="20"/>
                <w:szCs w:val="20"/>
                <w:lang w:val="ka-GE"/>
              </w:rPr>
              <w:t>ამოცანების გადაჭრის</w:t>
            </w:r>
            <w:r w:rsidR="001146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გზებს</w:t>
            </w:r>
            <w:r w:rsidR="007C7CBF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7C7CBF" w:rsidRPr="00305AAD" w:rsidRDefault="00ED4691" w:rsidP="00A960FC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3168C">
              <w:rPr>
                <w:rFonts w:ascii="Sylfaen" w:hAnsi="Sylfaen" w:cs="Sylfaen"/>
                <w:sz w:val="20"/>
                <w:szCs w:val="20"/>
                <w:lang w:val="ka-GE"/>
              </w:rPr>
              <w:t>ნათლად გამოხატ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53168C">
              <w:rPr>
                <w:rFonts w:ascii="Sylfaen" w:hAnsi="Sylfaen" w:cs="Sylfaen"/>
                <w:sz w:val="20"/>
                <w:szCs w:val="20"/>
                <w:lang w:val="ka-GE"/>
              </w:rPr>
              <w:t>ვ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53168C">
              <w:rPr>
                <w:rFonts w:ascii="Sylfaen" w:hAnsi="Sylfaen" w:cs="Sylfaen"/>
                <w:sz w:val="20"/>
                <w:szCs w:val="20"/>
                <w:lang w:val="ka-GE"/>
              </w:rPr>
              <w:t>საკუთარ აზრებს</w:t>
            </w:r>
            <w:r w:rsidR="000F620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C7CBF" w:rsidRPr="0053168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ზოგად და პროფესიულ თემებზე </w:t>
            </w:r>
            <w:r w:rsidR="007C7CBF"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პროფესიულ და არაპროფესიულ გარემოში</w:t>
            </w:r>
            <w:r w:rsidR="007C7CBF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</w:tr>
      <w:tr w:rsidR="004C0566" w:rsidRPr="004C056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4C0566" w:rsidRDefault="00305AA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05AA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AAD" w:rsidRPr="00305AAD" w:rsidRDefault="00A960FC" w:rsidP="000D2778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ადარებს </w:t>
            </w:r>
            <w:r w:rsidR="00305AAD" w:rsidRPr="00305AA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საკუთარი ცოდნ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ას</w:t>
            </w:r>
            <w:r w:rsidR="00305AAD" w:rsidRPr="00305AA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შრომის ბაზრის მოთხოვნებთან 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გეგმავს</w:t>
            </w:r>
            <w:r w:rsidR="000F620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05AAD" w:rsidRPr="00305AAD">
              <w:rPr>
                <w:rFonts w:ascii="Sylfaen" w:hAnsi="Sylfaen" w:cs="Sylfaen"/>
                <w:sz w:val="20"/>
                <w:szCs w:val="20"/>
                <w:lang w:val="af-ZA"/>
              </w:rPr>
              <w:t>სწავლის გაგრძელების და ცოდნის გაღრმავების პროცეს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05AAD" w:rsidRPr="00305AA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7B02BE" w:rsidRPr="004C0566" w:rsidRDefault="00A960FC" w:rsidP="00A960FC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მშენებლობის ყველა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სტადიაზე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ითვალისწინებს </w:t>
            </w:r>
            <w:r w:rsidR="007B02BE" w:rsidRPr="001F11F8">
              <w:rPr>
                <w:rFonts w:ascii="Sylfaen" w:hAnsi="Sylfaen" w:cs="Sylfaen"/>
                <w:sz w:val="20"/>
                <w:szCs w:val="20"/>
                <w:lang w:val="af-ZA"/>
              </w:rPr>
              <w:t>პროფესიულ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7B02BE" w:rsidRPr="001F11F8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ეთიკის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0F620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05AA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შრომის და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="007B02BE"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დაცვის</w:t>
            </w:r>
            <w:r w:rsidR="00305AAD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0F620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2778" w:rsidRPr="00305AAD">
              <w:rPr>
                <w:rFonts w:ascii="Sylfaen" w:hAnsi="Sylfaen" w:cs="Sylfaen"/>
                <w:sz w:val="20"/>
                <w:szCs w:val="20"/>
                <w:lang w:val="ka-GE"/>
              </w:rPr>
              <w:t>ენერგოეფექტურობის</w:t>
            </w:r>
            <w:r w:rsidR="007B02BE" w:rsidRPr="00305AA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საკითხებს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0B7CBC" w:rsidRPr="004C056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0B7CBC" w:rsidRPr="000B7CBC" w:rsidRDefault="000B7CBC" w:rsidP="000B7C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B7CB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კონცენტრაცია: </w:t>
            </w:r>
            <w:r w:rsidRPr="000B7CBC">
              <w:rPr>
                <w:rFonts w:ascii="Sylfaen" w:hAnsi="Sylfaen"/>
                <w:b/>
                <w:sz w:val="20"/>
                <w:szCs w:val="20"/>
                <w:lang w:val="ka-GE"/>
              </w:rPr>
              <w:t>„</w:t>
            </w:r>
            <w:r w:rsidRPr="000B7CBC">
              <w:rPr>
                <w:rFonts w:ascii="Sylfaen" w:hAnsi="Sylfaen"/>
                <w:b/>
                <w:sz w:val="20"/>
                <w:szCs w:val="20"/>
                <w:lang w:val="es-ES"/>
              </w:rPr>
              <w:t>სამრეწველოდასა</w:t>
            </w:r>
            <w:r w:rsidRPr="000B7CBC">
              <w:rPr>
                <w:rFonts w:ascii="Sylfaen" w:hAnsi="Sylfaen"/>
                <w:b/>
                <w:sz w:val="20"/>
                <w:szCs w:val="20"/>
                <w:lang w:val="ka-GE"/>
              </w:rPr>
              <w:t>მო</w:t>
            </w:r>
            <w:r w:rsidRPr="000B7CBC">
              <w:rPr>
                <w:rFonts w:ascii="Sylfaen" w:hAnsi="Sylfaen"/>
                <w:b/>
                <w:sz w:val="20"/>
                <w:szCs w:val="20"/>
                <w:lang w:val="es-ES"/>
              </w:rPr>
              <w:t>ქალაქომშენებლობა”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CBC" w:rsidRDefault="007B39C2" w:rsidP="000B7CBC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მითითებების და ინსტრუქციების საფუძველზე აპროექტებს სხვადასხვა დანიშნულების შენობა-ნაგებობებს;</w:t>
            </w:r>
          </w:p>
          <w:p w:rsidR="007B39C2" w:rsidRPr="00542CEA" w:rsidRDefault="007B39C2" w:rsidP="000B7CBC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შეიმუშავებს მშენებლობის წარმოების და ორგანიზაციის დოკუმენტაციას;</w:t>
            </w:r>
          </w:p>
          <w:p w:rsidR="00542CEA" w:rsidRDefault="00542CEA" w:rsidP="000B7CBC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2CEA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განსაზღვრავს სამშენებლო ობიექტზე პროცესების მართვის მექანიზმებს</w:t>
            </w:r>
            <w:r>
              <w:rPr>
                <w:rFonts w:ascii="Sylfaen" w:hAnsi="Sylfaen" w:cs="Sylfaen"/>
                <w:sz w:val="20"/>
                <w:szCs w:val="20"/>
              </w:rPr>
              <w:t>;</w:t>
            </w:r>
          </w:p>
        </w:tc>
      </w:tr>
      <w:tr w:rsidR="000B7CBC" w:rsidRPr="004C056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0B7CBC" w:rsidRPr="000B7CBC" w:rsidRDefault="000B7CBC" w:rsidP="000B7C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B7CB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კონცენტრაცია: </w:t>
            </w:r>
            <w:r w:rsidRPr="000B7CBC">
              <w:rPr>
                <w:rFonts w:ascii="Sylfaen" w:hAnsi="Sylfaen"/>
                <w:b/>
                <w:sz w:val="20"/>
                <w:szCs w:val="20"/>
              </w:rPr>
              <w:t>“</w:t>
            </w:r>
            <w:r w:rsidRPr="000B7CBC">
              <w:rPr>
                <w:rFonts w:ascii="Sylfaen" w:hAnsi="Sylfaen"/>
                <w:b/>
                <w:sz w:val="20"/>
                <w:szCs w:val="20"/>
                <w:lang w:val="ka-GE"/>
              </w:rPr>
              <w:t>ლითონის კონსტრუქციები</w:t>
            </w:r>
            <w:r w:rsidRPr="000B7CBC">
              <w:rPr>
                <w:rFonts w:ascii="Sylfaen" w:hAnsi="Sylfaen"/>
                <w:b/>
                <w:sz w:val="20"/>
                <w:szCs w:val="20"/>
                <w:lang w:val="es-ES"/>
              </w:rPr>
              <w:t>”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CBC" w:rsidRDefault="007B39C2" w:rsidP="007B39C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ინსტრუქციების საფუძველზე აპროექტებს შენობა-ნაგებობებში და საინჟინრო ქსელებში გამოყენებულ ლითონკონსტრუქციებს</w:t>
            </w:r>
            <w:r w:rsidR="00542CEA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7B39C2" w:rsidRPr="00542CEA" w:rsidRDefault="007B39C2" w:rsidP="007B39C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შეიმუშავებს ლითონის კონსტრუქციის წარმოებისა და მონტაჟის დოკუმენტაციას</w:t>
            </w:r>
          </w:p>
          <w:p w:rsidR="00542CEA" w:rsidRDefault="00542CEA" w:rsidP="007B39C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2CEA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განსაზღვრავს კონსტრუქციების ხარისხის და საიმედობის კონტროლის მექანიზმებს და წესს</w:t>
            </w:r>
          </w:p>
        </w:tc>
      </w:tr>
      <w:tr w:rsidR="000B7CBC" w:rsidRPr="004C056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0B7CBC" w:rsidRPr="000B7CBC" w:rsidRDefault="000B7CBC" w:rsidP="000B7C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B7CB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კონცენტრაცია: </w:t>
            </w:r>
            <w:r w:rsidRPr="000B7CBC">
              <w:rPr>
                <w:rFonts w:ascii="Sylfaen" w:hAnsi="Sylfaen"/>
                <w:b/>
                <w:sz w:val="20"/>
                <w:szCs w:val="20"/>
                <w:lang w:val="es-ES"/>
              </w:rPr>
              <w:t>“</w:t>
            </w:r>
            <w:r w:rsidRPr="000B7CB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საავტომობილო გზების მშენებლობა</w:t>
            </w:r>
            <w:r w:rsidRPr="000B7CBC">
              <w:rPr>
                <w:rFonts w:ascii="Sylfaen" w:hAnsi="Sylfaen"/>
                <w:b/>
                <w:sz w:val="20"/>
                <w:szCs w:val="20"/>
                <w:lang w:val="es-ES"/>
              </w:rPr>
              <w:t>”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E3C" w:rsidRDefault="00693E3C" w:rsidP="00693E3C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მითითებების და ინსტრუქციების საფუძველზე აპროექტებს საავტომობილო გზებს;</w:t>
            </w:r>
          </w:p>
          <w:p w:rsidR="000B7CBC" w:rsidRPr="00BD6C54" w:rsidRDefault="00693E3C" w:rsidP="00693E3C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შეიმუშავებს გზების მშენებლობის წარმოების და ორგანიზაციის დოკუმენტაციას;</w:t>
            </w:r>
          </w:p>
          <w:p w:rsidR="00BD6C54" w:rsidRDefault="00BD6C54" w:rsidP="00693E3C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D6C54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განსაზღვრავს გზების ექსპლოატაციის სამუშაოების შემადგენლობას</w:t>
            </w:r>
          </w:p>
        </w:tc>
      </w:tr>
      <w:tr w:rsidR="000F620B" w:rsidRPr="004C0566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0F620B" w:rsidRPr="000B7CBC" w:rsidRDefault="000F620B" w:rsidP="000F620B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B7CB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კონცენტრაცია </w:t>
            </w:r>
            <w:r w:rsidRPr="000B7CBC">
              <w:rPr>
                <w:rFonts w:ascii="Sylfaen" w:hAnsi="Sylfaen"/>
                <w:b/>
                <w:sz w:val="20"/>
                <w:szCs w:val="20"/>
              </w:rPr>
              <w:t>“</w:t>
            </w:r>
            <w:r w:rsidRPr="000B7CBC">
              <w:rPr>
                <w:rFonts w:ascii="Sylfaen" w:hAnsi="Sylfaen"/>
                <w:b/>
                <w:sz w:val="20"/>
                <w:szCs w:val="20"/>
                <w:lang w:val="ka-GE"/>
              </w:rPr>
              <w:t>ჰიდროტექნიკური  ნაგებობები</w:t>
            </w:r>
            <w:r w:rsidRPr="000B7CBC">
              <w:rPr>
                <w:rFonts w:ascii="Sylfaen" w:hAnsi="Sylfaen"/>
                <w:b/>
                <w:sz w:val="20"/>
                <w:szCs w:val="20"/>
                <w:lang w:val="es-ES"/>
              </w:rPr>
              <w:t>”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20B" w:rsidRDefault="000F620B" w:rsidP="000F620B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აანალიზებს ჰიდრომექანიკის, ჰიდროტექნიკის და ჰიდროტექნიკური მშენებლობის თეორიულ საფუძვლებს;</w:t>
            </w:r>
          </w:p>
          <w:p w:rsidR="000F620B" w:rsidRPr="00634E45" w:rsidRDefault="000F620B" w:rsidP="000F620B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34E45">
              <w:rPr>
                <w:rFonts w:ascii="Sylfaen" w:hAnsi="Sylfaen" w:cs="Sylfaen"/>
                <w:sz w:val="20"/>
                <w:szCs w:val="20"/>
                <w:lang w:val="ka-GE"/>
              </w:rPr>
              <w:t>მითითებების და ინსტრუქციების საფუძველზე აგეგმარებს ლოკალური მნიშვნელობის ჰიდროტექნიკური ნაგებობებს და მათი ექსპლოატაციის პროცესს;</w:t>
            </w:r>
          </w:p>
          <w:p w:rsidR="000F620B" w:rsidRDefault="000F620B" w:rsidP="000F620B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29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34E45">
              <w:rPr>
                <w:rFonts w:ascii="Sylfaen" w:hAnsi="Sylfaen" w:cs="Sylfaen"/>
                <w:sz w:val="20"/>
                <w:szCs w:val="20"/>
                <w:lang w:val="ka-GE"/>
              </w:rPr>
              <w:t>სეციალისტის ზედამხედველობით ადგენს სამშენებლო სამუშაოთა წარმოების გეგმას და შესაბამის დოკუმენტაციას</w:t>
            </w:r>
          </w:p>
        </w:tc>
      </w:tr>
      <w:tr w:rsidR="000F620B" w:rsidRPr="004C0566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620B" w:rsidRPr="004C0566" w:rsidRDefault="000F620B" w:rsidP="000F620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სწავლა-</w:t>
            </w: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</w:p>
        </w:tc>
      </w:tr>
      <w:tr w:rsidR="000F620B" w:rsidRPr="004C056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20B" w:rsidRPr="00A750CA" w:rsidRDefault="000F620B" w:rsidP="000F620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50C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ლექცია, სემინარი (ჯგუფში მუშაობა), პრაქტიკული, ლაბორატორიული, პრაქტიკა, საკურსო სამუშაო/პროექტი, კონსულტაცია, დამოუკიდებელი მუშაობა.</w:t>
            </w:r>
          </w:p>
          <w:p w:rsidR="000F620B" w:rsidRPr="00A750CA" w:rsidRDefault="000F620B" w:rsidP="000F620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0F620B" w:rsidRPr="00A750CA" w:rsidRDefault="000F620B" w:rsidP="000F620B">
            <w:pPr>
              <w:pStyle w:val="Default"/>
              <w:jc w:val="both"/>
              <w:rPr>
                <w:sz w:val="20"/>
                <w:szCs w:val="20"/>
              </w:rPr>
            </w:pPr>
            <w:r w:rsidRPr="00A750CA">
              <w:rPr>
                <w:sz w:val="20"/>
                <w:szCs w:val="20"/>
              </w:rPr>
              <w:t xml:space="preserve">სწავლის პროცესში კონკრეტული სასწავლო კურსის სპეციფიკიდან გამომდინარე, გამოიყენება სწავლება-სწავლის მეთოდების ქვემოთ მოცემული შესაბამისი აქტივობები, რომელიც ასახულია შესაბამის სასწავლო კურსის პროგრამებში (სილაბუსებში): </w:t>
            </w:r>
          </w:p>
          <w:p w:rsidR="000F620B" w:rsidRPr="00976CAF" w:rsidRDefault="000F620B" w:rsidP="000F620B">
            <w:pPr>
              <w:pStyle w:val="Default"/>
              <w:jc w:val="both"/>
              <w:rPr>
                <w:rFonts w:eastAsia="Times New Roman" w:cs="Times New Roman"/>
                <w:bCs/>
                <w:sz w:val="20"/>
                <w:szCs w:val="20"/>
                <w:lang w:val="ka-GE" w:eastAsia="ru-RU"/>
              </w:rPr>
            </w:pPr>
            <w:r w:rsidRPr="00976CAF">
              <w:rPr>
                <w:sz w:val="20"/>
                <w:szCs w:val="20"/>
              </w:rPr>
              <w:lastRenderedPageBreak/>
              <w:t>დისკუსია/დებატები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თანამშრომლობითი (cooperative) სწავლება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ჯგუფური (collaborative) მუშაობა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დემონსტრირების მეთოდი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ინდუქციური მეთოდი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დედუქციურიმეთოდი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სინთეზის მეთოდი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ანალიზის მეთოდი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ვერბალური ანუ ზეპირსიტყვიერი მეთოდი</w:t>
            </w:r>
            <w:r w:rsidRPr="00976CAF">
              <w:rPr>
                <w:sz w:val="20"/>
                <w:szCs w:val="20"/>
                <w:lang w:val="ka-GE"/>
              </w:rPr>
              <w:t xml:space="preserve">, </w:t>
            </w:r>
            <w:r w:rsidRPr="00976CAF">
              <w:rPr>
                <w:sz w:val="20"/>
                <w:szCs w:val="20"/>
              </w:rPr>
              <w:t>წერითი მუშაობის მეთოდი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ლაბორატორიული მეთოდი</w:t>
            </w:r>
            <w:r w:rsidRPr="00976CAF">
              <w:rPr>
                <w:sz w:val="20"/>
                <w:szCs w:val="20"/>
                <w:lang w:val="ka-GE"/>
              </w:rPr>
              <w:t>,</w:t>
            </w:r>
            <w:r w:rsidRPr="00976CAF">
              <w:rPr>
                <w:sz w:val="20"/>
                <w:szCs w:val="20"/>
              </w:rPr>
              <w:t xml:space="preserve"> პრაქტიკული </w:t>
            </w:r>
            <w:proofErr w:type="gramStart"/>
            <w:r w:rsidRPr="00976CAF">
              <w:rPr>
                <w:sz w:val="20"/>
                <w:szCs w:val="20"/>
              </w:rPr>
              <w:t>მეთოდები</w:t>
            </w:r>
            <w:r w:rsidRPr="00976CAF">
              <w:rPr>
                <w:sz w:val="20"/>
                <w:szCs w:val="20"/>
                <w:lang w:val="ka-GE"/>
              </w:rPr>
              <w:t xml:space="preserve">, </w:t>
            </w:r>
            <w:r w:rsidRPr="00976CAF">
              <w:rPr>
                <w:sz w:val="20"/>
                <w:szCs w:val="20"/>
              </w:rPr>
              <w:t xml:space="preserve"> ახსნა</w:t>
            </w:r>
            <w:proofErr w:type="gramEnd"/>
            <w:r w:rsidRPr="00976CAF">
              <w:rPr>
                <w:sz w:val="20"/>
                <w:szCs w:val="20"/>
              </w:rPr>
              <w:t>-განმარტებითი</w:t>
            </w:r>
            <w:r w:rsidRPr="00976CAF">
              <w:rPr>
                <w:sz w:val="20"/>
                <w:szCs w:val="20"/>
                <w:lang w:val="ka-GE"/>
              </w:rPr>
              <w:t xml:space="preserve">, </w:t>
            </w:r>
            <w:r w:rsidRPr="00976CAF">
              <w:rPr>
                <w:sz w:val="20"/>
                <w:szCs w:val="20"/>
              </w:rPr>
              <w:t>პროექტის</w:t>
            </w:r>
            <w:r w:rsidRPr="00976CAF">
              <w:rPr>
                <w:sz w:val="20"/>
                <w:szCs w:val="20"/>
                <w:lang w:val="ka-GE"/>
              </w:rPr>
              <w:t xml:space="preserve"> </w:t>
            </w:r>
            <w:r w:rsidRPr="00976CAF">
              <w:rPr>
                <w:sz w:val="20"/>
                <w:szCs w:val="20"/>
              </w:rPr>
              <w:t>შემუშავება</w:t>
            </w:r>
            <w:r w:rsidRPr="00976CAF">
              <w:rPr>
                <w:sz w:val="20"/>
                <w:szCs w:val="20"/>
                <w:lang w:val="ka-GE"/>
              </w:rPr>
              <w:t xml:space="preserve"> </w:t>
            </w:r>
            <w:r w:rsidRPr="00976CAF">
              <w:rPr>
                <w:sz w:val="20"/>
                <w:szCs w:val="20"/>
              </w:rPr>
              <w:t>და</w:t>
            </w:r>
            <w:r w:rsidRPr="00976CAF">
              <w:rPr>
                <w:sz w:val="20"/>
                <w:szCs w:val="20"/>
                <w:lang w:val="ka-GE"/>
              </w:rPr>
              <w:t xml:space="preserve"> </w:t>
            </w:r>
            <w:r w:rsidRPr="00976CAF">
              <w:rPr>
                <w:sz w:val="20"/>
                <w:szCs w:val="20"/>
              </w:rPr>
              <w:t>პრეზენტაცია</w:t>
            </w:r>
            <w:r>
              <w:rPr>
                <w:sz w:val="20"/>
                <w:szCs w:val="20"/>
                <w:lang w:val="ka-GE"/>
              </w:rPr>
              <w:t>.</w:t>
            </w:r>
            <w:r w:rsidRPr="00976CAF">
              <w:rPr>
                <w:sz w:val="20"/>
                <w:szCs w:val="20"/>
              </w:rPr>
              <w:t xml:space="preserve"> </w:t>
            </w:r>
          </w:p>
        </w:tc>
      </w:tr>
      <w:tr w:rsidR="000F620B" w:rsidRPr="004C056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620B" w:rsidRPr="004C0566" w:rsidRDefault="000F620B" w:rsidP="000F620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0F620B" w:rsidRPr="004C056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20B" w:rsidRPr="006166E7" w:rsidRDefault="000F620B" w:rsidP="000F620B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6166E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პროგრამა ეყრდნობა კრედიტების ტრანსფერისა და დაგროვების ევროპულ სისტემას (ECTS). </w:t>
            </w:r>
          </w:p>
          <w:p w:rsidR="000F620B" w:rsidRPr="006166E7" w:rsidRDefault="000F620B" w:rsidP="000F620B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6166E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პროგრამა გრძელდება 4 წელი (რვა სემესტრი). </w:t>
            </w:r>
          </w:p>
          <w:p w:rsidR="000F620B" w:rsidRDefault="000F620B" w:rsidP="000F620B">
            <w:pPr>
              <w:spacing w:after="0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6166E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პროგრამა ფარავს 240 კრედიტს (ECTS*) (60 კრედიტი წელიწადში ან 30 კრედიტი სემესტრში)</w:t>
            </w:r>
            <w:r w:rsidRPr="006166E7">
              <w:rPr>
                <w:rFonts w:ascii="Sylfaen" w:eastAsia="Times New Roman" w:hAnsi="Sylfaen" w:cs="Sylfaen"/>
                <w:bCs/>
                <w:sz w:val="20"/>
                <w:szCs w:val="20"/>
                <w:lang w:val="af-ZA" w:eastAsia="ru-RU"/>
              </w:rPr>
              <w:t xml:space="preserve"> </w:t>
            </w:r>
          </w:p>
          <w:p w:rsidR="000F620B" w:rsidRDefault="000F620B" w:rsidP="000F62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C1E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 სწავლის სფეროს შესაბამისი შინაარსის  სავალდებულო სასწავლო კურსები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189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 (</w:t>
            </w:r>
            <w:r w:rsidRPr="004C0566">
              <w:rPr>
                <w:rFonts w:ascii="Arial" w:hAnsi="Arial" w:cs="Arial"/>
                <w:bCs/>
                <w:sz w:val="20"/>
                <w:szCs w:val="20"/>
                <w:lang w:val="ka-GE"/>
              </w:rPr>
              <w:t>I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- </w:t>
            </w:r>
            <w:r w:rsidRPr="004C0566">
              <w:rPr>
                <w:rFonts w:ascii="Arial" w:hAnsi="Arial" w:cs="Arial"/>
                <w:bCs/>
                <w:sz w:val="20"/>
                <w:szCs w:val="20"/>
                <w:lang w:val="ka-GE"/>
              </w:rPr>
              <w:t>VIII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სემესტრი)</w:t>
            </w:r>
          </w:p>
          <w:p w:rsidR="000F620B" w:rsidRPr="004C0566" w:rsidRDefault="000F620B" w:rsidP="000F62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 კრედიტები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30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 (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II - </w:t>
            </w:r>
            <w:r w:rsidRPr="004C0566">
              <w:rPr>
                <w:rFonts w:ascii="Arial" w:hAnsi="Arial" w:cs="Arial"/>
                <w:bCs/>
                <w:sz w:val="20"/>
                <w:szCs w:val="20"/>
                <w:lang w:val="ka-GE"/>
              </w:rPr>
              <w:t>VII</w:t>
            </w:r>
            <w:r w:rsidR="00341269">
              <w:rPr>
                <w:rFonts w:ascii="Arial" w:hAnsi="Arial" w:cs="Arial"/>
                <w:bCs/>
                <w:sz w:val="20"/>
                <w:szCs w:val="20"/>
              </w:rPr>
              <w:t>Ι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სემესტრი)</w:t>
            </w:r>
          </w:p>
          <w:p w:rsidR="000F620B" w:rsidRPr="004C0566" w:rsidRDefault="000F620B" w:rsidP="000F620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რჩევითი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კონცენტრაცია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21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 (</w:t>
            </w:r>
            <w:r w:rsidRPr="004C0566">
              <w:rPr>
                <w:rFonts w:ascii="Arial" w:hAnsi="Arial" w:cs="Arial"/>
                <w:bCs/>
                <w:sz w:val="20"/>
                <w:szCs w:val="20"/>
                <w:lang w:val="ka-GE"/>
              </w:rPr>
              <w:t>VII</w:t>
            </w:r>
            <w:r w:rsidR="0034126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41269" w:rsidRPr="004C0566">
              <w:rPr>
                <w:rFonts w:ascii="Arial" w:hAnsi="Arial" w:cs="Arial"/>
                <w:bCs/>
                <w:sz w:val="20"/>
                <w:szCs w:val="20"/>
                <w:lang w:val="ka-GE"/>
              </w:rPr>
              <w:t>VII</w:t>
            </w:r>
            <w:r w:rsidRPr="004C0566">
              <w:rPr>
                <w:rFonts w:ascii="Arial" w:hAnsi="Arial" w:cs="Arial"/>
                <w:bCs/>
                <w:sz w:val="20"/>
                <w:szCs w:val="20"/>
                <w:lang w:val="ka-GE"/>
              </w:rPr>
              <w:t>I</w:t>
            </w:r>
            <w:r w:rsidRPr="004C05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სემესტრი)</w:t>
            </w:r>
          </w:p>
          <w:p w:rsidR="000F620B" w:rsidRPr="004C0566" w:rsidRDefault="000F620B" w:rsidP="000F620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0F620B" w:rsidRPr="004C0566" w:rsidRDefault="000F620B" w:rsidP="000F620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1 ი</w:t>
            </w: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 სახით</w:t>
            </w:r>
          </w:p>
        </w:tc>
      </w:tr>
      <w:tr w:rsidR="000F620B" w:rsidRPr="004C056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620B" w:rsidRPr="004C0566" w:rsidRDefault="000F620B" w:rsidP="000F620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0F620B" w:rsidRPr="004C0566" w:rsidTr="00A6382B">
        <w:tc>
          <w:tcPr>
            <w:tcW w:w="11307" w:type="dxa"/>
            <w:gridSpan w:val="4"/>
            <w:shd w:val="clear" w:color="auto" w:fill="auto"/>
            <w:vAlign w:val="center"/>
          </w:tcPr>
          <w:p w:rsidR="000F620B" w:rsidRPr="00DE7C4D" w:rsidRDefault="000F620B" w:rsidP="000F620B">
            <w:pPr>
              <w:spacing w:after="0" w:line="240" w:lineRule="auto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1C1EF0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საქართველოს განათლებისა და მეცნიერების მინისტრის 2007 წლის 5 იანვრის  № 3 და 2016 წლის 18 აგვისტოს  №102/ნ ბრძანების შესაბამისად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და 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2017 წლის 15 სექტემბრის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 xml:space="preserve"> №5(17/18) – „აკაკი წერეთლის სახელმწიფო უნივერსიტეტში სტუდენტთა შეფასების სისტემის დამტკიცების </w:t>
            </w:r>
            <w:proofErr w:type="gramStart"/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შესახებ“</w:t>
            </w:r>
            <w:proofErr w:type="gramEnd"/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</w:t>
            </w:r>
          </w:p>
          <w:p w:rsidR="000F620B" w:rsidRPr="00DE7C4D" w:rsidRDefault="000F620B" w:rsidP="000F620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0F620B" w:rsidRPr="00DE7C4D" w:rsidRDefault="000F620B" w:rsidP="000F620B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სტუდენტისმიერმიღწეულისწავლისშედეგებისერთჯერადად,მხოლოდდასკვნითიგამოცდისსაფუძველზე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0F620B" w:rsidRPr="00DE7C4D" w:rsidRDefault="000F620B" w:rsidP="000F620B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:rsidR="000F620B" w:rsidRPr="00DE7C4D" w:rsidRDefault="000F620B" w:rsidP="000F620B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:rsidR="000F620B" w:rsidRPr="00DE7C4D" w:rsidRDefault="000F620B" w:rsidP="000F620B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  <w:r w:rsidRPr="00DE7C4D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:rsidR="000F620B" w:rsidRPr="00DE7C4D" w:rsidRDefault="000F620B" w:rsidP="000F620B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0F620B" w:rsidRPr="00DE7C4D" w:rsidRDefault="000F620B" w:rsidP="000F620B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არა    უმეტეს 30 ქულა;</w:t>
            </w:r>
          </w:p>
          <w:p w:rsidR="000F620B" w:rsidRPr="00DE7C4D" w:rsidRDefault="000F620B" w:rsidP="000F620B">
            <w:pPr>
              <w:pStyle w:val="ListParagraph"/>
              <w:widowControl w:val="0"/>
              <w:numPr>
                <w:ilvl w:val="0"/>
                <w:numId w:val="30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შუალედური გამოცდა - არა ნაკლებ 30 ქულა.</w:t>
            </w:r>
          </w:p>
          <w:p w:rsidR="000F620B" w:rsidRPr="00DE7C4D" w:rsidRDefault="000F620B" w:rsidP="000F620B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:rsidR="000F620B" w:rsidRPr="00DE7C4D" w:rsidRDefault="000F620B" w:rsidP="000F620B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0F620B" w:rsidRPr="00DE7C4D" w:rsidRDefault="000F620B" w:rsidP="000F620B">
            <w:pPr>
              <w:pStyle w:val="abzacixml"/>
              <w:framePr w:hSpace="0" w:wrap="auto" w:vAnchor="margin" w:hAnchor="text" w:xAlign="left" w:yAlign="inline"/>
              <w:spacing w:line="240" w:lineRule="auto"/>
              <w:rPr>
                <w:sz w:val="20"/>
              </w:rPr>
            </w:pPr>
            <w:r w:rsidRPr="00DE7C4D">
              <w:rPr>
                <w:sz w:val="20"/>
              </w:rPr>
              <w:t>შეფასებისსისტემაითვალისწინებს: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ა)ხუთი სახის დადებითი შეფასება: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DE7C4D">
              <w:rPr>
                <w:sz w:val="20"/>
                <w:szCs w:val="20"/>
                <w:lang w:val="ka-GE"/>
              </w:rPr>
              <w:t xml:space="preserve">A)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DE7C4D">
              <w:rPr>
                <w:sz w:val="20"/>
                <w:szCs w:val="20"/>
                <w:lang w:val="ka-GE"/>
              </w:rPr>
              <w:t xml:space="preserve">(B)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DE7C4D">
              <w:rPr>
                <w:sz w:val="20"/>
                <w:szCs w:val="20"/>
                <w:lang w:val="ka-GE"/>
              </w:rPr>
              <w:t xml:space="preserve">(C)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DE7C4D">
              <w:rPr>
                <w:sz w:val="20"/>
                <w:szCs w:val="20"/>
                <w:lang w:val="ka-GE"/>
              </w:rPr>
              <w:t xml:space="preserve">(D)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DE7C4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DE7C4D">
              <w:rPr>
                <w:sz w:val="20"/>
                <w:szCs w:val="20"/>
                <w:lang w:val="ka-GE"/>
              </w:rPr>
              <w:t xml:space="preserve">(E)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DE7C4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ბ) ორი სახის უარყოფითი შეფასება: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DE7C4D">
              <w:rPr>
                <w:sz w:val="20"/>
                <w:szCs w:val="20"/>
                <w:lang w:val="ka-GE"/>
              </w:rPr>
              <w:t xml:space="preserve">(FX)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:rsidR="000F620B" w:rsidRPr="00DE7C4D" w:rsidRDefault="000F620B" w:rsidP="000F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DE7C4D">
              <w:rPr>
                <w:sz w:val="20"/>
                <w:szCs w:val="20"/>
                <w:lang w:val="ka-GE"/>
              </w:rPr>
              <w:t xml:space="preserve">(F)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0F620B" w:rsidRPr="00DE7C4D" w:rsidRDefault="000F620B" w:rsidP="000F620B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მე-5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0F620B" w:rsidRPr="00DE7C4D" w:rsidRDefault="000F620B" w:rsidP="000F620B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დასკვნითი გამოცდა არ უნდა შეფასდეს 40 ქულაზე მეტით.</w:t>
            </w:r>
          </w:p>
          <w:p w:rsidR="000F620B" w:rsidRPr="00DE7C4D" w:rsidRDefault="000F620B" w:rsidP="000F620B">
            <w:pPr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საგანმანათლებლო პროგრამის სასწავლო კომპონენტში 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0F620B" w:rsidRPr="00DE7C4D" w:rsidRDefault="000F620B" w:rsidP="000F620B">
            <w:pPr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:rsidR="000F620B" w:rsidRPr="00DE7C4D" w:rsidRDefault="000F620B" w:rsidP="000F620B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0F620B" w:rsidRPr="00DE7C4D" w:rsidRDefault="000F620B" w:rsidP="000F620B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0F620B" w:rsidRPr="00DE7C4D" w:rsidRDefault="000F620B" w:rsidP="000F620B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0F620B" w:rsidRPr="00DE7C4D" w:rsidRDefault="000F620B" w:rsidP="000F620B">
            <w:pPr>
              <w:spacing w:after="0" w:line="240" w:lineRule="auto"/>
              <w:jc w:val="both"/>
              <w:rPr>
                <w:rFonts w:ascii="Times New Roman" w:hAnsi="Times New Roman" w:cs="Sylfaen"/>
                <w:bCs/>
                <w:color w:val="76923C" w:themeColor="accent3" w:themeShade="BF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შესაბამისსილაბუსებში</w:t>
            </w: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0F620B" w:rsidRPr="004C056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620B" w:rsidRPr="004C0566" w:rsidRDefault="000F620B" w:rsidP="000F620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0F620B" w:rsidRPr="004C056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20B" w:rsidRPr="004C0566" w:rsidRDefault="000F620B" w:rsidP="000F62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სამშენებლო ფირმებში და  საპროექტო ორგანიზაციებში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რომლებიც ახორციელებენ სამრეწველო და 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სამოქალაქო შენობები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ს,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საავტომობილო გზები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ს, ჰიდროტექნიკური ნაგებობების, 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>მილსადენები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C056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>ტერმინალების და სხვა ობიექტების მშენებლობა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 და პროექტირებას.</w:t>
            </w:r>
            <w:r w:rsidRPr="004C05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</w:p>
        </w:tc>
      </w:tr>
      <w:tr w:rsidR="000F620B" w:rsidRPr="004C0566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620B" w:rsidRPr="004C0566" w:rsidRDefault="000F620B" w:rsidP="000F620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0F620B" w:rsidRPr="004C0566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20B" w:rsidRPr="004C0566" w:rsidRDefault="000F620B" w:rsidP="000F620B">
            <w:pPr>
              <w:spacing w:after="0"/>
              <w:ind w:left="426" w:firstLine="284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განხორციელებისათის აუცილებელი მატერიალური რესურსები:</w:t>
            </w:r>
          </w:p>
          <w:p w:rsidR="000F620B" w:rsidRPr="004C0566" w:rsidRDefault="000F620B" w:rsidP="000F62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/>
                <w:sz w:val="20"/>
                <w:szCs w:val="20"/>
                <w:lang w:val="af-ZA"/>
              </w:rPr>
              <w:t xml:space="preserve">ფაკულტეტის </w:t>
            </w: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>სამეცნიერო-ტექნიკური ბიბლიოთეკ</w:t>
            </w:r>
            <w:r w:rsidRPr="004C0566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0F620B" w:rsidRPr="004C0566" w:rsidRDefault="000F620B" w:rsidP="000F62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>პროფესორ-მასწავლებელთა მიერ შექმნილი დამხმარე მეთოდური მასალები;</w:t>
            </w:r>
          </w:p>
          <w:p w:rsidR="000F620B" w:rsidRPr="004C0566" w:rsidRDefault="000F620B" w:rsidP="000F62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</w:t>
            </w: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 xml:space="preserve"> ტექნოლოგიური კაბინეტ-ლაბორატორიები;</w:t>
            </w:r>
          </w:p>
          <w:p w:rsidR="000F620B" w:rsidRPr="004C0566" w:rsidRDefault="000F620B" w:rsidP="000F62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C0566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ცენტრები;</w:t>
            </w:r>
          </w:p>
          <w:p w:rsidR="000F620B" w:rsidRPr="00747376" w:rsidRDefault="000F620B" w:rsidP="000F620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47376">
              <w:rPr>
                <w:rFonts w:ascii="Sylfaen" w:hAnsi="Sylfaen"/>
                <w:sz w:val="20"/>
                <w:szCs w:val="20"/>
                <w:lang w:val="af-ZA"/>
              </w:rPr>
              <w:t>ფაკულტეტის</w:t>
            </w:r>
            <w:r w:rsidRPr="00747376">
              <w:rPr>
                <w:rFonts w:ascii="Sylfaen" w:hAnsi="Sylfaen"/>
                <w:sz w:val="20"/>
                <w:szCs w:val="20"/>
                <w:lang w:val="ka-GE"/>
              </w:rPr>
              <w:t xml:space="preserve"> ლაბორატორიები:</w:t>
            </w:r>
          </w:p>
          <w:p w:rsidR="000F620B" w:rsidRPr="00747376" w:rsidRDefault="000F620B" w:rsidP="000F620B">
            <w:pPr>
              <w:spacing w:after="0"/>
              <w:ind w:left="901" w:hanging="181"/>
              <w:rPr>
                <w:rFonts w:ascii="Sylfaen" w:hAnsi="Sylfaen"/>
                <w:sz w:val="20"/>
                <w:szCs w:val="20"/>
              </w:rPr>
            </w:pPr>
            <w:r w:rsidRPr="00747376">
              <w:rPr>
                <w:rFonts w:ascii="Sylfaen" w:hAnsi="Sylfaen"/>
                <w:sz w:val="20"/>
                <w:szCs w:val="20"/>
                <w:lang w:val="ka-GE"/>
              </w:rPr>
              <w:t>ა) შედუღების ლაბორატორი</w:t>
            </w:r>
            <w:r w:rsidRPr="00747376">
              <w:rPr>
                <w:rFonts w:ascii="Sylfaen" w:hAnsi="Sylfaen"/>
                <w:sz w:val="20"/>
                <w:szCs w:val="20"/>
                <w:lang w:val="af-ZA"/>
              </w:rPr>
              <w:t>ები</w:t>
            </w:r>
            <w:r w:rsidRPr="00747376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0F620B" w:rsidRPr="00747376" w:rsidRDefault="000F620B" w:rsidP="000F620B">
            <w:pPr>
              <w:spacing w:after="0"/>
              <w:ind w:left="901" w:hanging="181"/>
              <w:rPr>
                <w:rFonts w:ascii="Sylfaen" w:hAnsi="Sylfaen"/>
                <w:sz w:val="20"/>
                <w:szCs w:val="20"/>
                <w:lang w:val="ka-GE"/>
              </w:rPr>
            </w:pPr>
            <w:r w:rsidRPr="00747376">
              <w:rPr>
                <w:rFonts w:ascii="Sylfaen" w:hAnsi="Sylfaen"/>
                <w:sz w:val="20"/>
                <w:szCs w:val="20"/>
                <w:lang w:val="ka-GE"/>
              </w:rPr>
              <w:t xml:space="preserve">ბ) ჰიდროტექნიკური ლაბორატორია, </w:t>
            </w:r>
          </w:p>
          <w:p w:rsidR="000F620B" w:rsidRPr="00747376" w:rsidRDefault="000F620B" w:rsidP="000F620B">
            <w:pPr>
              <w:spacing w:after="0"/>
              <w:ind w:left="901" w:hanging="181"/>
              <w:rPr>
                <w:rFonts w:ascii="Sylfaen" w:hAnsi="Sylfaen"/>
                <w:sz w:val="20"/>
                <w:szCs w:val="20"/>
                <w:lang w:val="ka-GE"/>
              </w:rPr>
            </w:pPr>
            <w:r w:rsidRPr="00747376">
              <w:rPr>
                <w:rFonts w:ascii="Sylfaen" w:hAnsi="Sylfaen"/>
                <w:sz w:val="20"/>
                <w:szCs w:val="20"/>
                <w:lang w:val="ka-GE"/>
              </w:rPr>
              <w:t>გ) სამრეწველო და სამოქალაქო მშენებლობის  ლაბორატორია:</w:t>
            </w:r>
          </w:p>
          <w:p w:rsidR="000F620B" w:rsidRPr="00747376" w:rsidRDefault="000F620B" w:rsidP="000F620B">
            <w:pPr>
              <w:spacing w:after="0" w:line="240" w:lineRule="auto"/>
              <w:ind w:left="709"/>
              <w:rPr>
                <w:rFonts w:ascii="Sylfaen" w:hAnsi="Sylfaen"/>
                <w:sz w:val="20"/>
                <w:szCs w:val="20"/>
                <w:lang w:val="ka-GE"/>
              </w:rPr>
            </w:pPr>
            <w:r w:rsidRPr="00747376">
              <w:rPr>
                <w:rFonts w:ascii="Sylfaen" w:hAnsi="Sylfaen"/>
                <w:sz w:val="20"/>
                <w:szCs w:val="20"/>
                <w:lang w:val="ka-GE"/>
              </w:rPr>
              <w:t>დ)  გეოდეზიის ლაბორატორია</w:t>
            </w:r>
          </w:p>
          <w:p w:rsidR="000F620B" w:rsidRPr="00747376" w:rsidRDefault="000F620B" w:rsidP="000F620B">
            <w:pPr>
              <w:spacing w:after="0" w:line="240" w:lineRule="auto"/>
              <w:ind w:left="709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47376">
              <w:rPr>
                <w:rFonts w:ascii="Sylfaen" w:hAnsi="Sylfaen"/>
                <w:sz w:val="20"/>
                <w:szCs w:val="20"/>
                <w:lang w:val="ka-GE"/>
              </w:rPr>
              <w:t xml:space="preserve">ე) სამშენებლო მანქანების ლაბორატორია.    </w:t>
            </w:r>
          </w:p>
          <w:p w:rsidR="000F620B" w:rsidRPr="004C0566" w:rsidRDefault="000F620B" w:rsidP="000F620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F620B" w:rsidRPr="004C0566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0F620B" w:rsidRPr="004C0566" w:rsidRDefault="000F620B" w:rsidP="000F620B">
            <w:pPr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7153F8" w:rsidRDefault="007153F8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Pr="004C0566" w:rsidRDefault="00A70384" w:rsidP="00065B67">
      <w:pPr>
        <w:jc w:val="right"/>
        <w:rPr>
          <w:rFonts w:ascii="Sylfaen" w:hAnsi="Sylfaen"/>
          <w:b/>
          <w:lang w:val="ka-GE"/>
        </w:rPr>
      </w:pPr>
    </w:p>
    <w:p w:rsidR="00A70384" w:rsidRDefault="00A70384">
      <w:pPr>
        <w:rPr>
          <w:rFonts w:ascii="Sylfaen" w:hAnsi="Sylfaen" w:cs="Sylfaen"/>
          <w:b/>
          <w:lang w:val="af-ZA"/>
        </w:rPr>
        <w:sectPr w:rsidR="00A70384" w:rsidSect="00AB58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0" w:right="616" w:bottom="0" w:left="426" w:header="720" w:footer="720" w:gutter="0"/>
          <w:cols w:space="720"/>
        </w:sectPr>
      </w:pPr>
    </w:p>
    <w:p w:rsidR="00E856C7" w:rsidRPr="008509F7" w:rsidRDefault="00E856C7" w:rsidP="00E856C7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8509F7">
        <w:rPr>
          <w:b/>
          <w:noProof/>
          <w:sz w:val="20"/>
          <w:szCs w:val="20"/>
        </w:rPr>
        <w:lastRenderedPageBreak/>
        <w:drawing>
          <wp:inline distT="0" distB="0" distL="0" distR="0">
            <wp:extent cx="7615555" cy="709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C7" w:rsidRPr="00CE474C" w:rsidRDefault="00E856C7" w:rsidP="00E856C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8509F7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="00CE474C">
        <w:rPr>
          <w:rFonts w:ascii="Sylfaen" w:hAnsi="Sylfaen" w:cs="Sylfaen"/>
          <w:b/>
          <w:sz w:val="20"/>
          <w:szCs w:val="20"/>
        </w:rPr>
        <w:t xml:space="preserve"> 2021-2022</w:t>
      </w:r>
    </w:p>
    <w:p w:rsidR="00E856C7" w:rsidRPr="008509F7" w:rsidRDefault="00E856C7" w:rsidP="00E856C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8509F7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>მშენებლობა</w:t>
      </w:r>
    </w:p>
    <w:p w:rsidR="00E856C7" w:rsidRPr="008679AC" w:rsidRDefault="00E856C7" w:rsidP="00E856C7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8509F7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8509F7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 w:rsidRPr="008679AC">
        <w:rPr>
          <w:rFonts w:ascii="Sylfaen" w:hAnsi="Sylfaen" w:cs="Sylfaen"/>
          <w:b/>
          <w:color w:val="000000"/>
          <w:sz w:val="20"/>
          <w:szCs w:val="20"/>
          <w:lang w:val="ka-GE"/>
        </w:rPr>
        <w:t>მშენებლობის ინჟინერი</w:t>
      </w:r>
      <w:r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ის </w:t>
      </w:r>
      <w:r w:rsidRPr="008509F7">
        <w:rPr>
          <w:rFonts w:ascii="Sylfaen" w:hAnsi="Sylfaen" w:cs="Sylfaen"/>
          <w:b/>
          <w:sz w:val="20"/>
          <w:szCs w:val="20"/>
          <w:lang w:val="ka-GE"/>
        </w:rPr>
        <w:t>ბაკალავრი</w:t>
      </w:r>
    </w:p>
    <w:tbl>
      <w:tblPr>
        <w:tblW w:w="14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23"/>
        <w:gridCol w:w="703"/>
        <w:gridCol w:w="778"/>
        <w:gridCol w:w="658"/>
        <w:gridCol w:w="785"/>
        <w:gridCol w:w="763"/>
        <w:gridCol w:w="1132"/>
        <w:gridCol w:w="451"/>
        <w:gridCol w:w="26"/>
        <w:gridCol w:w="425"/>
        <w:gridCol w:w="500"/>
        <w:gridCol w:w="67"/>
        <w:gridCol w:w="411"/>
        <w:gridCol w:w="15"/>
        <w:gridCol w:w="425"/>
        <w:gridCol w:w="32"/>
        <w:gridCol w:w="480"/>
        <w:gridCol w:w="57"/>
        <w:gridCol w:w="505"/>
        <w:gridCol w:w="62"/>
        <w:gridCol w:w="586"/>
        <w:gridCol w:w="1061"/>
      </w:tblGrid>
      <w:tr w:rsidR="00E856C7" w:rsidRPr="008509F7" w:rsidTr="00AF1A9D">
        <w:trPr>
          <w:trHeight w:val="274"/>
          <w:jc w:val="center"/>
        </w:trPr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6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984" w:type="dxa"/>
            <w:gridSpan w:val="4"/>
            <w:tcBorders>
              <w:top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13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8509F7"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8509F7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4042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0000"/>
            <w:textDirection w:val="btLr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6A4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E856C7" w:rsidRPr="008509F7" w:rsidTr="00AF1A9D">
        <w:trPr>
          <w:trHeight w:val="135"/>
          <w:jc w:val="center"/>
        </w:trPr>
        <w:tc>
          <w:tcPr>
            <w:tcW w:w="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vMerge/>
            <w:tcBorders>
              <w:lef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vMerge w:val="restart"/>
            <w:shd w:val="clear" w:color="auto" w:fill="8E0000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shd w:val="clear" w:color="auto" w:fill="8E0000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63" w:type="dxa"/>
            <w:vMerge w:val="restart"/>
            <w:shd w:val="clear" w:color="auto" w:fill="8E0000"/>
            <w:textDirection w:val="btLr"/>
          </w:tcPr>
          <w:p w:rsidR="00E856C7" w:rsidRPr="008509F7" w:rsidRDefault="00E856C7" w:rsidP="00E856C7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  <w:bookmarkStart w:id="0" w:name="_GoBack"/>
            <w:bookmarkEnd w:id="0"/>
            <w:r>
              <w:rPr>
                <w:rFonts w:ascii="Sylfaen" w:hAnsi="Sylfaen"/>
                <w:sz w:val="20"/>
                <w:szCs w:val="20"/>
                <w:lang w:val="ka-GE"/>
              </w:rPr>
              <w:t>ოუკიდებელი სამუშაო</w:t>
            </w:r>
          </w:p>
        </w:tc>
        <w:tc>
          <w:tcPr>
            <w:tcW w:w="1132" w:type="dxa"/>
            <w:vMerge/>
            <w:tcBorders>
              <w:righ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 w:val="restart"/>
            <w:tcBorders>
              <w:lef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51" w:type="dxa"/>
            <w:gridSpan w:val="2"/>
            <w:vMerge w:val="restart"/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500" w:type="dxa"/>
            <w:vMerge w:val="restart"/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8" w:type="dxa"/>
            <w:gridSpan w:val="2"/>
            <w:vMerge w:val="restart"/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gridSpan w:val="3"/>
            <w:vMerge w:val="restart"/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80" w:type="dxa"/>
            <w:vMerge w:val="restart"/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62" w:type="dxa"/>
            <w:gridSpan w:val="2"/>
            <w:vMerge w:val="restart"/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648" w:type="dxa"/>
            <w:gridSpan w:val="2"/>
            <w:vMerge w:val="restart"/>
            <w:tcBorders>
              <w:right w:val="double" w:sz="4" w:space="0" w:color="auto"/>
            </w:tcBorders>
            <w:shd w:val="clear" w:color="auto" w:fill="8E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10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E0000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856C7" w:rsidRPr="008509F7" w:rsidTr="00AF1A9D">
        <w:trPr>
          <w:cantSplit/>
          <w:trHeight w:val="1560"/>
          <w:jc w:val="center"/>
        </w:trPr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8E0000"/>
            <w:textDirection w:val="btLr"/>
          </w:tcPr>
          <w:p w:rsidR="00E856C7" w:rsidRPr="008509F7" w:rsidRDefault="00E856C7" w:rsidP="00E856C7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8E0000"/>
            <w:textDirection w:val="btLr"/>
          </w:tcPr>
          <w:p w:rsidR="00E856C7" w:rsidRPr="008509F7" w:rsidRDefault="00E856C7" w:rsidP="00E856C7">
            <w:pPr>
              <w:spacing w:after="0" w:line="240" w:lineRule="auto"/>
              <w:ind w:left="113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763" w:type="dxa"/>
            <w:vMerge/>
            <w:tcBorders>
              <w:bottom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856C7" w:rsidRPr="008509F7" w:rsidTr="005E087A">
        <w:trPr>
          <w:trHeight w:val="510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A0000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1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6A4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</w:tr>
      <w:tr w:rsidR="00E856C7" w:rsidRPr="008509F7" w:rsidTr="007100D6">
        <w:trPr>
          <w:trHeight w:val="217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A0000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45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A0000"/>
            <w:vAlign w:val="center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646A4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სწავლის სფეროს შესაბამისი შინაარსის სავალდებულო</w:t>
            </w:r>
            <w:r w:rsidRPr="003646A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646A4">
              <w:rPr>
                <w:rFonts w:ascii="Sylfaen" w:hAnsi="Sylfaen"/>
                <w:b/>
                <w:sz w:val="20"/>
                <w:szCs w:val="20"/>
                <w:lang w:val="ka-GE"/>
              </w:rPr>
              <w:t>ზოგადი კურსები</w:t>
            </w:r>
          </w:p>
        </w:tc>
      </w:tr>
      <w:tr w:rsidR="00E856C7" w:rsidRPr="008509F7" w:rsidTr="00D1261A">
        <w:trPr>
          <w:trHeight w:val="2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F722C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2CE">
              <w:rPr>
                <w:rFonts w:ascii="Sylfaen" w:hAnsi="Sylfaen"/>
                <w:sz w:val="20"/>
                <w:szCs w:val="20"/>
              </w:rPr>
              <w:t xml:space="preserve">უცხო ენა 1 </w:t>
            </w:r>
            <w:r w:rsidRPr="00F722CE">
              <w:rPr>
                <w:rFonts w:ascii="Sylfaen" w:hAnsi="Sylfaen"/>
                <w:sz w:val="20"/>
                <w:szCs w:val="20"/>
                <w:lang w:val="ka-GE"/>
              </w:rPr>
              <w:t>(რუსული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ინგლისური, ფრანგული, </w:t>
            </w:r>
            <w:r w:rsidRPr="00F722CE">
              <w:rPr>
                <w:rFonts w:ascii="Sylfaen" w:hAnsi="Sylfaen"/>
                <w:sz w:val="20"/>
                <w:szCs w:val="20"/>
                <w:lang w:val="ka-GE"/>
              </w:rPr>
              <w:t>გერმანული)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0/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 w:rsidRPr="008509F7">
              <w:rPr>
                <w:rFonts w:ascii="Sylfaen" w:hAnsi="Sylfaen"/>
                <w:sz w:val="20"/>
                <w:szCs w:val="20"/>
              </w:rPr>
              <w:t>/0/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E856C7" w:rsidRPr="008509F7" w:rsidTr="00D1261A">
        <w:trPr>
          <w:trHeight w:val="2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F722C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2CE">
              <w:rPr>
                <w:rFonts w:ascii="Sylfaen" w:hAnsi="Sylfaen"/>
                <w:sz w:val="20"/>
                <w:szCs w:val="20"/>
              </w:rPr>
              <w:t xml:space="preserve">უცხო ენა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F722C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722CE">
              <w:rPr>
                <w:rFonts w:ascii="Sylfaen" w:hAnsi="Sylfaen"/>
                <w:sz w:val="20"/>
                <w:szCs w:val="20"/>
                <w:lang w:val="ka-GE"/>
              </w:rPr>
              <w:t>(რუსული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ინგლისური, ფრანგული, </w:t>
            </w:r>
            <w:r w:rsidRPr="00F722CE">
              <w:rPr>
                <w:rFonts w:ascii="Sylfaen" w:hAnsi="Sylfaen"/>
                <w:sz w:val="20"/>
                <w:szCs w:val="20"/>
                <w:lang w:val="ka-GE"/>
              </w:rPr>
              <w:t>გერმანული)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0/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 w:rsidRPr="008509F7">
              <w:rPr>
                <w:rFonts w:ascii="Sylfaen" w:hAnsi="Sylfaen"/>
                <w:sz w:val="20"/>
                <w:szCs w:val="20"/>
              </w:rPr>
              <w:t>/0/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856C7" w:rsidRPr="008509F7" w:rsidTr="00D1261A">
        <w:trPr>
          <w:trHeight w:val="2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F722C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2CE">
              <w:rPr>
                <w:rFonts w:ascii="Sylfaen" w:hAnsi="Sylfaen"/>
                <w:sz w:val="20"/>
                <w:szCs w:val="20"/>
              </w:rPr>
              <w:t xml:space="preserve">უცხო ენა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722C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722CE">
              <w:rPr>
                <w:rFonts w:ascii="Sylfaen" w:hAnsi="Sylfaen"/>
                <w:sz w:val="20"/>
                <w:szCs w:val="20"/>
                <w:lang w:val="ka-GE"/>
              </w:rPr>
              <w:t>(რუსული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ინგლისური, ფრანგული, </w:t>
            </w:r>
            <w:r w:rsidRPr="00F722CE">
              <w:rPr>
                <w:rFonts w:ascii="Sylfaen" w:hAnsi="Sylfaen"/>
                <w:sz w:val="20"/>
                <w:szCs w:val="20"/>
                <w:lang w:val="ka-GE"/>
              </w:rPr>
              <w:t>გერმანული)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0/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  <w:r w:rsidRPr="008509F7">
              <w:rPr>
                <w:rFonts w:ascii="Sylfaen" w:hAnsi="Sylfaen"/>
                <w:sz w:val="20"/>
                <w:szCs w:val="20"/>
              </w:rPr>
              <w:t>/0/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E2EC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576A01" w:rsidRDefault="00E856C7" w:rsidP="00E856C7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576A01">
              <w:rPr>
                <w:rFonts w:ascii="Sylfaen" w:hAnsi="Sylfaen"/>
                <w:sz w:val="20"/>
                <w:szCs w:val="20"/>
                <w:lang w:val="ka-GE"/>
              </w:rPr>
              <w:t>საინჟინრო მათემატიკა 1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50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tcBorders>
              <w:top w:val="double" w:sz="4" w:space="0" w:color="auto"/>
            </w:tcBorders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56C7" w:rsidRPr="00316B5C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284A0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F722CE" w:rsidRDefault="00E856C7" w:rsidP="00E856C7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F722CE">
              <w:rPr>
                <w:rFonts w:ascii="Sylfaen" w:hAnsi="Sylfaen"/>
                <w:sz w:val="20"/>
                <w:szCs w:val="20"/>
              </w:rPr>
              <w:t>ფიზიკა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7D1AE6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08780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51" w:type="dxa"/>
            <w:gridSpan w:val="2"/>
            <w:vAlign w:val="center"/>
          </w:tcPr>
          <w:p w:rsidR="00E856C7" w:rsidRPr="0008780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DB0679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284A0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F722CE" w:rsidRDefault="00E856C7" w:rsidP="00E856C7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F722CE">
              <w:rPr>
                <w:rFonts w:ascii="Sylfaen" w:hAnsi="Sylfaen"/>
                <w:sz w:val="20"/>
                <w:szCs w:val="20"/>
              </w:rPr>
              <w:t>ქიმია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29126F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284A0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5E63CA" w:rsidRDefault="00E856C7" w:rsidP="00E856C7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5E63CA">
              <w:rPr>
                <w:rFonts w:ascii="Sylfaen" w:hAnsi="Sylfaen"/>
                <w:sz w:val="20"/>
                <w:szCs w:val="20"/>
              </w:rPr>
              <w:t>საინჟინრო გრაფიკა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50</w:t>
            </w:r>
          </w:p>
        </w:tc>
        <w:tc>
          <w:tcPr>
            <w:tcW w:w="658" w:type="dxa"/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  <w:vAlign w:val="center"/>
          </w:tcPr>
          <w:p w:rsidR="00E856C7" w:rsidRPr="005E63C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3" w:type="dxa"/>
            <w:vAlign w:val="center"/>
          </w:tcPr>
          <w:p w:rsidR="00E856C7" w:rsidRPr="005E63C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86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509F7">
              <w:rPr>
                <w:rFonts w:ascii="Sylfaen" w:hAnsi="Sylfaen"/>
                <w:sz w:val="20"/>
                <w:szCs w:val="20"/>
              </w:rPr>
              <w:t>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60DE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29126F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284A0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4A4AFC" w:rsidRDefault="00E856C7" w:rsidP="00E856C7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4A4AFC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ინფორმაციული</w:t>
            </w:r>
            <w:r w:rsidRPr="004A4AF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A4AFC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ტექნოლოგიები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316B5C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51" w:type="dxa"/>
            <w:gridSpan w:val="2"/>
            <w:vAlign w:val="center"/>
          </w:tcPr>
          <w:p w:rsidR="00E856C7" w:rsidRPr="001F199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1F199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284A0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4A4AFC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A4AFC">
              <w:rPr>
                <w:rFonts w:ascii="Sylfaen" w:hAnsi="Sylfaen"/>
                <w:sz w:val="20"/>
                <w:szCs w:val="20"/>
                <w:lang w:val="ka-GE"/>
              </w:rPr>
              <w:t>შესავალი სპეციალობაში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5" w:type="dxa"/>
            <w:vAlign w:val="center"/>
          </w:tcPr>
          <w:p w:rsidR="00E856C7" w:rsidRPr="004A4AFC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36BD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08780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51" w:type="dxa"/>
            <w:gridSpan w:val="2"/>
            <w:vAlign w:val="center"/>
          </w:tcPr>
          <w:p w:rsidR="00E856C7" w:rsidRPr="001F199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284A0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576A01" w:rsidRDefault="00E856C7" w:rsidP="00E856C7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576A01">
              <w:rPr>
                <w:rFonts w:ascii="Sylfaen" w:hAnsi="Sylfaen"/>
                <w:sz w:val="20"/>
                <w:szCs w:val="20"/>
                <w:lang w:val="ka-GE"/>
              </w:rPr>
              <w:t>საინჟინრო მათემატიკა 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75E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365A6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65A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45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08780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F722C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2CE">
              <w:rPr>
                <w:rFonts w:ascii="Sylfaen" w:hAnsi="Sylfaen"/>
                <w:sz w:val="20"/>
                <w:szCs w:val="20"/>
                <w:lang w:val="ka-GE"/>
              </w:rPr>
              <w:t>თეორიული მექანიკა 1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E204C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vAlign w:val="center"/>
          </w:tcPr>
          <w:p w:rsidR="00E856C7" w:rsidRPr="00F722C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8" w:type="dxa"/>
            <w:vAlign w:val="center"/>
          </w:tcPr>
          <w:p w:rsidR="00E856C7" w:rsidRPr="00F722C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5E63C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08780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DB067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D1340E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5E63CA" w:rsidRDefault="00E856C7" w:rsidP="00E856C7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5E63CA">
              <w:rPr>
                <w:rFonts w:ascii="Sylfaen" w:hAnsi="Sylfaen"/>
                <w:sz w:val="20"/>
                <w:szCs w:val="20"/>
                <w:lang w:val="ka-GE"/>
              </w:rPr>
              <w:t xml:space="preserve">საინჟინრო </w:t>
            </w:r>
            <w:r w:rsidRPr="005E63CA">
              <w:rPr>
                <w:rFonts w:ascii="Sylfaen" w:hAnsi="Sylfaen"/>
                <w:sz w:val="20"/>
                <w:szCs w:val="20"/>
                <w:lang w:val="es-ES"/>
              </w:rPr>
              <w:t>კომპიუტერული</w:t>
            </w:r>
            <w:r w:rsidRPr="005E63C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63CA">
              <w:rPr>
                <w:rFonts w:ascii="Sylfaen" w:hAnsi="Sylfaen"/>
                <w:sz w:val="20"/>
                <w:szCs w:val="20"/>
              </w:rPr>
              <w:t xml:space="preserve"> გრაფიკა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5E63C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:rsidR="00E856C7" w:rsidRPr="005E63C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00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860DE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3" w:type="dxa"/>
            <w:vAlign w:val="center"/>
          </w:tcPr>
          <w:p w:rsidR="00E856C7" w:rsidRPr="00860DE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51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7C5AB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382C48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82C48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EE0B6E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EE0B6E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საშენი მასალები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vAlign w:val="center"/>
          </w:tcPr>
          <w:p w:rsidR="00E856C7" w:rsidRPr="008679AC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576A01" w:rsidRDefault="00E856C7" w:rsidP="00E856C7">
            <w:pPr>
              <w:spacing w:after="0" w:line="240" w:lineRule="auto"/>
              <w:rPr>
                <w:rFonts w:ascii="AcadNusx" w:hAnsi="AcadNusx"/>
                <w:sz w:val="20"/>
                <w:szCs w:val="20"/>
                <w:lang w:val="ka-GE"/>
              </w:rPr>
            </w:pPr>
            <w:r w:rsidRPr="00576A01">
              <w:rPr>
                <w:rFonts w:ascii="Sylfaen" w:hAnsi="Sylfaen"/>
                <w:sz w:val="20"/>
                <w:szCs w:val="20"/>
                <w:lang w:val="ka-GE"/>
              </w:rPr>
              <w:t>საინჟინრო მათემატიკა 3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92227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B507D2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F722C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2CE">
              <w:rPr>
                <w:rFonts w:ascii="Sylfaen" w:hAnsi="Sylfaen"/>
                <w:sz w:val="20"/>
                <w:szCs w:val="20"/>
                <w:lang w:val="ka-GE"/>
              </w:rPr>
              <w:t>თეორიული მექანიკა 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E204C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15/30</w:t>
            </w:r>
            <w:r w:rsidRPr="008509F7">
              <w:rPr>
                <w:rFonts w:ascii="Sylfaen" w:hAnsi="Sylfaen"/>
                <w:sz w:val="20"/>
                <w:szCs w:val="20"/>
              </w:rPr>
              <w:t>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E204C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08780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B507D2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5B45F1" w:rsidRDefault="00E856C7" w:rsidP="00E856C7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5B45F1">
              <w:rPr>
                <w:rFonts w:ascii="Sylfaen" w:hAnsi="Sylfaen"/>
                <w:sz w:val="20"/>
                <w:szCs w:val="20"/>
              </w:rPr>
              <w:t>მიკრო</w:t>
            </w:r>
            <w:r w:rsidRPr="005B45F1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5B45F1">
              <w:rPr>
                <w:rFonts w:ascii="Sylfaen" w:hAnsi="Sylfaen"/>
                <w:sz w:val="20"/>
                <w:szCs w:val="20"/>
              </w:rPr>
              <w:t>მაკრო</w:t>
            </w:r>
            <w:r w:rsidRPr="005B45F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45F1">
              <w:rPr>
                <w:rFonts w:ascii="Sylfaen" w:hAnsi="Sylfaen"/>
                <w:sz w:val="20"/>
                <w:szCs w:val="20"/>
              </w:rPr>
              <w:t xml:space="preserve">ეკონომიკა 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5" w:type="dxa"/>
            <w:vAlign w:val="center"/>
          </w:tcPr>
          <w:p w:rsidR="00E856C7" w:rsidRPr="004A4AFC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36BD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32561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32561">
              <w:rPr>
                <w:rFonts w:ascii="Sylfaen" w:hAnsi="Sylfaen"/>
                <w:color w:val="000000"/>
                <w:sz w:val="20"/>
                <w:szCs w:val="20"/>
              </w:rPr>
              <w:t>სამშენებლო ხაზვა</w:t>
            </w:r>
            <w:r w:rsidRPr="00C3256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5" w:type="dxa"/>
            <w:vAlign w:val="center"/>
          </w:tcPr>
          <w:p w:rsidR="00E856C7" w:rsidRPr="00C3256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3" w:type="dxa"/>
            <w:vAlign w:val="center"/>
          </w:tcPr>
          <w:p w:rsidR="00E856C7" w:rsidRPr="00C36BD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41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Pr="008679AC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32561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C32561">
              <w:rPr>
                <w:rFonts w:ascii="Sylfaen" w:hAnsi="Sylfaen"/>
                <w:color w:val="000000"/>
                <w:sz w:val="20"/>
                <w:szCs w:val="20"/>
              </w:rPr>
              <w:t>საინჟინრო გეოდეზია 1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8" w:type="dxa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D1340E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4A4AFC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A4AF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მშენებლობის საკანონმდებლო უზრუნველყოფა.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5" w:type="dxa"/>
            <w:vAlign w:val="center"/>
          </w:tcPr>
          <w:p w:rsidR="00E856C7" w:rsidRPr="004A4AFC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36BD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32561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32561">
              <w:rPr>
                <w:rFonts w:ascii="Sylfaen" w:hAnsi="Sylfaen"/>
                <w:color w:val="000000"/>
                <w:sz w:val="20"/>
                <w:szCs w:val="20"/>
              </w:rPr>
              <w:t>სამშენებლო ხაზვა</w:t>
            </w:r>
            <w:r w:rsidRPr="00C3256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8" w:type="dxa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63" w:type="dxa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32561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C32561">
              <w:rPr>
                <w:rFonts w:ascii="Sylfaen" w:hAnsi="Sylfaen"/>
                <w:color w:val="000000"/>
                <w:sz w:val="20"/>
                <w:szCs w:val="20"/>
              </w:rPr>
              <w:t>საინჟინრო გეოდეზია 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5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36BD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302A3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B28FD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8B28FD">
              <w:rPr>
                <w:rFonts w:ascii="Sylfaen" w:hAnsi="Sylfaen"/>
                <w:color w:val="000000"/>
                <w:sz w:val="20"/>
                <w:szCs w:val="20"/>
              </w:rPr>
              <w:t>სასწავლო პრაქტიკა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B846B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156DB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 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B846B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21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166FA0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166FA0">
              <w:rPr>
                <w:rFonts w:ascii="Sylfaen" w:hAnsi="Sylfaen"/>
                <w:color w:val="000000"/>
                <w:sz w:val="18"/>
                <w:szCs w:val="18"/>
              </w:rPr>
              <w:t xml:space="preserve"> მასალათა გამძლეობა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156DB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156DB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166FA0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166FA0">
              <w:rPr>
                <w:rFonts w:ascii="Sylfaen" w:hAnsi="Sylfaen"/>
                <w:color w:val="000000"/>
                <w:sz w:val="18"/>
                <w:szCs w:val="18"/>
              </w:rPr>
              <w:t>ჰიდრ</w:t>
            </w:r>
            <w:r w:rsidRPr="00166FA0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ავლიკა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7101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101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156DB2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BD1A0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BD1A0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FC213F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166FA0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166FA0">
              <w:rPr>
                <w:rFonts w:ascii="Sylfaen" w:hAnsi="Sylfaen"/>
                <w:color w:val="000000"/>
                <w:sz w:val="20"/>
                <w:szCs w:val="20"/>
              </w:rPr>
              <w:t xml:space="preserve">არქიტექტურა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7101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  <w:vAlign w:val="center"/>
          </w:tcPr>
          <w:p w:rsidR="00E856C7" w:rsidRPr="007101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150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lang w:val="ka-GE"/>
              </w:rPr>
            </w:pPr>
            <w:r w:rsidRPr="00730219">
              <w:rPr>
                <w:rFonts w:ascii="Sylfaen" w:hAnsi="Sylfaen"/>
                <w:bCs/>
                <w:color w:val="000000"/>
                <w:lang w:val="ka-GE"/>
              </w:rPr>
              <w:t>60</w:t>
            </w:r>
          </w:p>
        </w:tc>
        <w:tc>
          <w:tcPr>
            <w:tcW w:w="785" w:type="dxa"/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15/15/30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7101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6C7" w:rsidRPr="00166FA0" w:rsidRDefault="00E856C7" w:rsidP="00E856C7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166FA0">
              <w:rPr>
                <w:rFonts w:ascii="Sylfaen" w:hAnsi="Sylfaen"/>
                <w:color w:val="000000"/>
                <w:sz w:val="20"/>
                <w:szCs w:val="20"/>
              </w:rPr>
              <w:t>სითბოგადაცემა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</w:rPr>
            </w:pPr>
            <w:r w:rsidRPr="00730219">
              <w:rPr>
                <w:rFonts w:ascii="Sylfaen" w:hAnsi="Sylfaen"/>
                <w:bCs/>
                <w:color w:val="00000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BD1A0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FF634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D1340E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36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 xml:space="preserve">მეწარმეობა </w:t>
            </w: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 xml:space="preserve">მშენებლობაში </w:t>
            </w:r>
          </w:p>
        </w:tc>
        <w:tc>
          <w:tcPr>
            <w:tcW w:w="7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tcBorders>
              <w:bottom w:val="double" w:sz="4" w:space="0" w:color="auto"/>
            </w:tcBorders>
            <w:vAlign w:val="center"/>
          </w:tcPr>
          <w:p w:rsidR="00E856C7" w:rsidRPr="004511F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vAlign w:val="center"/>
          </w:tcPr>
          <w:p w:rsidR="00E856C7" w:rsidRPr="007101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E856C7" w:rsidRPr="004A4AFC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vAlign w:val="center"/>
          </w:tcPr>
          <w:p w:rsidR="00E856C7" w:rsidRPr="00C36BD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53</w:t>
            </w:r>
          </w:p>
        </w:tc>
        <w:tc>
          <w:tcPr>
            <w:tcW w:w="11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tcBorders>
              <w:bottom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3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სამშენებლო მექანიკა-1</w:t>
            </w: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166FA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166FA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</w:rPr>
            </w:pPr>
            <w:r w:rsidRPr="00730219">
              <w:rPr>
                <w:rFonts w:ascii="Sylfaen" w:hAnsi="Sylfaen"/>
                <w:bCs/>
                <w:color w:val="000000"/>
              </w:rPr>
              <w:t>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446C6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23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ელექტროტექნიკა და ელექტრონიკის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6412D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FF634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მწვანე მშენებლობა და შენობების ენერგოეფექტურობა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:rsidR="00E856C7" w:rsidRPr="00166FA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00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</w:rPr>
            </w:pPr>
            <w:r w:rsidRPr="00730219">
              <w:rPr>
                <w:rFonts w:ascii="Sylfaen" w:hAnsi="Sylfaen"/>
                <w:bCs/>
                <w:color w:val="00000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6412D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26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სამშენებლო კონსტრუქციები-1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23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საწარმოო პრაქტიკა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FF634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:rsidR="00E856C7" w:rsidRPr="0079124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00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DE60B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3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სამშენებლო მანქანები და მოწყობილობები1</w:t>
            </w:r>
          </w:p>
        </w:tc>
        <w:tc>
          <w:tcPr>
            <w:tcW w:w="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14D3D">
              <w:rPr>
                <w:rFonts w:ascii="Sylfaen" w:hAnsi="Sylfae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14D3D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15/15/0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FF634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6C7" w:rsidRPr="00014D3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სამშენებლო მექანიკა-2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Pr="00446C6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28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სამშენებლო მანქანები და მოწყობილობები2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15/15/15/0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33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სამშენებლო კონსტრუქციები-2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DE60B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13, 28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14D3D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es-ES"/>
              </w:rPr>
              <w:t>მათემატიკური მეთოდები და მოდელები      მართვაში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7C5AB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7C5AB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509F7"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1F199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1F199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1F199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1F199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446C6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446C6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C06C75">
              <w:rPr>
                <w:rFonts w:ascii="Sylfaen" w:hAnsi="Sylfaen"/>
                <w:sz w:val="20"/>
                <w:szCs w:val="20"/>
                <w:lang w:val="es-ES"/>
              </w:rPr>
              <w:t>შრომის დაცვა მშენებლობა</w:t>
            </w: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FF634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FF634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58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გრუნტების მექანიკა</w:t>
            </w:r>
            <w:r w:rsidRPr="00C06C75">
              <w:rPr>
                <w:rFonts w:ascii="Sylfaen" w:hAnsi="Sylfaen"/>
                <w:sz w:val="20"/>
                <w:szCs w:val="20"/>
              </w:rPr>
              <w:t xml:space="preserve"> და ფუძე-საძირკვლები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23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მშენებლობის ეკონომიკა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78" w:type="dxa"/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785" w:type="dxa"/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866DA2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14D3D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F11A2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სამშენებლო კონსტრუქციები-3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Pr="0073021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730219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34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42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327F41" w:rsidRDefault="00E856C7" w:rsidP="00E856C7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104</w:t>
            </w:r>
          </w:p>
        </w:tc>
        <w:tc>
          <w:tcPr>
            <w:tcW w:w="778" w:type="dxa"/>
          </w:tcPr>
          <w:p w:rsidR="00E856C7" w:rsidRPr="007D0EFF" w:rsidRDefault="00E856C7" w:rsidP="00E856C7">
            <w:pPr>
              <w:spacing w:after="0" w:line="240" w:lineRule="auto"/>
            </w:pPr>
          </w:p>
        </w:tc>
        <w:tc>
          <w:tcPr>
            <w:tcW w:w="658" w:type="dxa"/>
          </w:tcPr>
          <w:p w:rsidR="00E856C7" w:rsidRPr="007D0EFF" w:rsidRDefault="00E856C7" w:rsidP="00E856C7">
            <w:pPr>
              <w:spacing w:after="0" w:line="240" w:lineRule="auto"/>
            </w:pPr>
          </w:p>
        </w:tc>
        <w:tc>
          <w:tcPr>
            <w:tcW w:w="785" w:type="dxa"/>
          </w:tcPr>
          <w:p w:rsidR="00E856C7" w:rsidRPr="007D0EFF" w:rsidRDefault="00E856C7" w:rsidP="00E856C7">
            <w:pPr>
              <w:spacing w:after="0" w:line="240" w:lineRule="auto"/>
            </w:pPr>
          </w:p>
        </w:tc>
        <w:tc>
          <w:tcPr>
            <w:tcW w:w="763" w:type="dxa"/>
          </w:tcPr>
          <w:p w:rsidR="00E856C7" w:rsidRDefault="00E856C7" w:rsidP="00E856C7">
            <w:pPr>
              <w:spacing w:after="0" w:line="240" w:lineRule="auto"/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8" w:type="dxa"/>
            <w:gridSpan w:val="2"/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2" w:type="dxa"/>
            <w:gridSpan w:val="3"/>
            <w:vAlign w:val="center"/>
          </w:tcPr>
          <w:p w:rsidR="00E856C7" w:rsidRPr="00F11A2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21</w:t>
            </w:r>
          </w:p>
        </w:tc>
        <w:tc>
          <w:tcPr>
            <w:tcW w:w="480" w:type="dxa"/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2" w:type="dxa"/>
            <w:gridSpan w:val="2"/>
            <w:vAlign w:val="center"/>
          </w:tcPr>
          <w:p w:rsidR="00E856C7" w:rsidRPr="0020704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20704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154"/>
          <w:jc w:val="center"/>
        </w:trPr>
        <w:tc>
          <w:tcPr>
            <w:tcW w:w="4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56C7" w:rsidRPr="007D0EFF" w:rsidRDefault="00E856C7" w:rsidP="00E856C7">
            <w:pPr>
              <w:spacing w:after="0" w:line="240" w:lineRule="auto"/>
            </w:pPr>
          </w:p>
        </w:tc>
        <w:tc>
          <w:tcPr>
            <w:tcW w:w="778" w:type="dxa"/>
            <w:tcBorders>
              <w:top w:val="double" w:sz="4" w:space="0" w:color="auto"/>
              <w:bottom w:val="double" w:sz="4" w:space="0" w:color="auto"/>
            </w:tcBorders>
          </w:tcPr>
          <w:p w:rsidR="00E856C7" w:rsidRPr="007D0EFF" w:rsidRDefault="00E856C7" w:rsidP="00E856C7">
            <w:pPr>
              <w:spacing w:after="0" w:line="240" w:lineRule="auto"/>
            </w:pP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</w:tcPr>
          <w:p w:rsidR="00E856C7" w:rsidRPr="007D0EFF" w:rsidRDefault="00E856C7" w:rsidP="00E856C7">
            <w:pPr>
              <w:spacing w:after="0" w:line="240" w:lineRule="auto"/>
            </w:pP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</w:tcPr>
          <w:p w:rsidR="00E856C7" w:rsidRPr="007D0EFF" w:rsidRDefault="00E856C7" w:rsidP="00E856C7">
            <w:pPr>
              <w:spacing w:after="0" w:line="240" w:lineRule="auto"/>
            </w:pP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</w:tcBorders>
          </w:tcPr>
          <w:p w:rsidR="00E856C7" w:rsidRDefault="00E856C7" w:rsidP="00E856C7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04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856C7" w:rsidRPr="008509F7" w:rsidTr="007100D6">
        <w:trPr>
          <w:trHeight w:val="359"/>
          <w:jc w:val="center"/>
        </w:trPr>
        <w:tc>
          <w:tcPr>
            <w:tcW w:w="14212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</w:tcPr>
          <w:p w:rsidR="00E856C7" w:rsidRPr="00C06C7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კონცენტრაციები</w:t>
            </w:r>
          </w:p>
        </w:tc>
      </w:tr>
      <w:tr w:rsidR="00E856C7" w:rsidRPr="008509F7" w:rsidTr="007100D6">
        <w:trPr>
          <w:trHeight w:val="359"/>
          <w:jc w:val="center"/>
        </w:trPr>
        <w:tc>
          <w:tcPr>
            <w:tcW w:w="14212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</w:tcPr>
          <w:p w:rsidR="00E856C7" w:rsidRPr="00C06C7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>„</w:t>
            </w:r>
            <w:r w:rsidRPr="00C06C75">
              <w:rPr>
                <w:rFonts w:ascii="Sylfaen" w:hAnsi="Sylfaen"/>
                <w:b/>
                <w:sz w:val="20"/>
                <w:szCs w:val="20"/>
                <w:lang w:val="es-ES"/>
              </w:rPr>
              <w:t>სამრეწველო</w:t>
            </w: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/>
                <w:b/>
                <w:sz w:val="20"/>
                <w:szCs w:val="20"/>
                <w:lang w:val="es-ES"/>
              </w:rPr>
              <w:t>და</w:t>
            </w: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/>
                <w:b/>
                <w:sz w:val="20"/>
                <w:szCs w:val="20"/>
                <w:lang w:val="es-ES"/>
              </w:rPr>
              <w:t>სა</w:t>
            </w: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>მო</w:t>
            </w:r>
            <w:r w:rsidRPr="00C06C75">
              <w:rPr>
                <w:rFonts w:ascii="Sylfaen" w:hAnsi="Sylfaen"/>
                <w:b/>
                <w:sz w:val="20"/>
                <w:szCs w:val="20"/>
                <w:lang w:val="es-ES"/>
              </w:rPr>
              <w:t>ქალაქო</w:t>
            </w: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/>
                <w:b/>
                <w:sz w:val="20"/>
                <w:szCs w:val="20"/>
                <w:lang w:val="es-ES"/>
              </w:rPr>
              <w:t>მშენებლობა”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საინჟინრო ქ</w:t>
            </w: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C06C75">
              <w:rPr>
                <w:rFonts w:ascii="Sylfaen" w:hAnsi="Sylfaen"/>
                <w:sz w:val="20"/>
                <w:szCs w:val="20"/>
              </w:rPr>
              <w:t>ელები</w:t>
            </w: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/>
                <w:sz w:val="20"/>
                <w:szCs w:val="20"/>
              </w:rPr>
              <w:t>და</w:t>
            </w: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/>
                <w:sz w:val="20"/>
                <w:szCs w:val="20"/>
              </w:rPr>
              <w:t>კომუნიკაციები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F22C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1D1E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24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es-ES"/>
              </w:rPr>
              <w:t xml:space="preserve">სამშენებლო წარმოების ტექნოლოგია 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F22C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1D1E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36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სამოქალაქო და სამრეწველო შენობების დაგეგმარება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BF18F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</w:tcPr>
          <w:p w:rsidR="00E856C7" w:rsidRPr="00BF18F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</w:tcPr>
          <w:p w:rsidR="00E856C7" w:rsidRPr="00866DA2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856C7" w:rsidRPr="00866DA2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F22C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0/60/0/0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0D3A4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A60351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42;  43</w:t>
            </w:r>
            <w:proofErr w:type="gramEnd"/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მშენებლობის ორგანიზაცია და მართვა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F22C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A416F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A60351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42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</w:t>
            </w:r>
          </w:p>
        </w:tc>
        <w:tc>
          <w:tcPr>
            <w:tcW w:w="778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5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right w:val="double" w:sz="4" w:space="0" w:color="auto"/>
            </w:tcBorders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7100D6">
        <w:trPr>
          <w:trHeight w:val="359"/>
          <w:jc w:val="center"/>
        </w:trPr>
        <w:tc>
          <w:tcPr>
            <w:tcW w:w="14212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</w:tcPr>
          <w:p w:rsidR="00E856C7" w:rsidRPr="00C06C7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b/>
                <w:sz w:val="20"/>
                <w:szCs w:val="20"/>
              </w:rPr>
              <w:t>“</w:t>
            </w: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>ლითონის კონსტრუქციები</w:t>
            </w:r>
            <w:r w:rsidRPr="00C06C75">
              <w:rPr>
                <w:rFonts w:ascii="Sylfaen" w:hAnsi="Sylfaen"/>
                <w:b/>
                <w:sz w:val="20"/>
                <w:szCs w:val="20"/>
                <w:lang w:val="es-ES"/>
              </w:rPr>
              <w:t>”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A503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მილსადენები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36507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1D1E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31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შედუღება მშენებლობაში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F22C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15/15/</w:t>
            </w:r>
            <w:r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06C7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6A4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ლითონის კონსტრუქციების დაგეგმარება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BF18F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</w:tcPr>
          <w:p w:rsidR="00E856C7" w:rsidRPr="00BF18F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</w:tcPr>
          <w:p w:rsidR="00E856C7" w:rsidRPr="00866DA2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856C7" w:rsidRPr="00866DA2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F22C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0/60/0/0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0D3A4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646A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es-ES"/>
              </w:rPr>
              <w:t>შენადუღი</w:t>
            </w: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/>
                <w:sz w:val="20"/>
                <w:szCs w:val="20"/>
                <w:lang w:val="es-ES"/>
              </w:rPr>
              <w:t>კონსტრუქციები</w:t>
            </w: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 xml:space="preserve"> და ხარისხის კონტროლი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875E8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15/15/15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4961B3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646A4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42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C06C7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</w:t>
            </w:r>
          </w:p>
        </w:tc>
        <w:tc>
          <w:tcPr>
            <w:tcW w:w="778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5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right w:val="double" w:sz="4" w:space="0" w:color="auto"/>
            </w:tcBorders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7100D6">
        <w:trPr>
          <w:trHeight w:val="359"/>
          <w:jc w:val="center"/>
        </w:trPr>
        <w:tc>
          <w:tcPr>
            <w:tcW w:w="14212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gramStart"/>
            <w:r w:rsidRPr="00C06C75">
              <w:rPr>
                <w:rFonts w:ascii="Sylfaen" w:hAnsi="Sylfaen"/>
                <w:b/>
                <w:sz w:val="20"/>
                <w:szCs w:val="20"/>
                <w:lang w:val="es-ES"/>
              </w:rPr>
              <w:t>“</w:t>
            </w:r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საავტომობილო</w:t>
            </w:r>
            <w:proofErr w:type="gramEnd"/>
            <w:r w:rsidRPr="00C06C7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გზების მშენებლობა</w:t>
            </w:r>
            <w:r w:rsidRPr="00C06C75">
              <w:rPr>
                <w:rFonts w:ascii="Sylfaen" w:hAnsi="Sylfaen"/>
                <w:b/>
                <w:sz w:val="20"/>
                <w:szCs w:val="20"/>
                <w:lang w:val="es-ES"/>
              </w:rPr>
              <w:t>”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საავტომობილო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გზების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მშენებლობის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ტექნოლოგია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36507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9D033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0D3A4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საავტომობილო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გზების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მშენებლობის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ორგანიზაცია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</w:tcPr>
          <w:p w:rsidR="00E856C7" w:rsidRPr="0036507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9D033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ind w:left="-6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/>
                <w:sz w:val="20"/>
                <w:szCs w:val="20"/>
                <w:lang w:val="es-ES"/>
              </w:rPr>
              <w:t>საავტომობილო გზების დაგეგმარებ</w:t>
            </w:r>
            <w:r w:rsidRPr="00C06C75">
              <w:rPr>
                <w:rFonts w:ascii="Sylfaen" w:hAnsi="Sylfaen"/>
                <w:sz w:val="20"/>
                <w:szCs w:val="20"/>
                <w:lang w:val="ka-GE"/>
              </w:rPr>
              <w:t>ის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640FF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</w:t>
            </w:r>
            <w:r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AcadNusx" w:hAnsi="AcadNusx"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0D3A4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35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C06C75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საავტომობილო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გზების</w:t>
            </w:r>
            <w:r w:rsidRPr="00C06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06C75">
              <w:rPr>
                <w:rFonts w:ascii="Sylfaen" w:hAnsi="Sylfaen" w:cs="Sylfaen"/>
                <w:sz w:val="20"/>
                <w:szCs w:val="20"/>
                <w:lang w:val="es-ES"/>
              </w:rPr>
              <w:t>ექსპლუატაცია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BF18F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78" w:type="dxa"/>
          </w:tcPr>
          <w:p w:rsidR="00E856C7" w:rsidRPr="00BF18F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</w:tcPr>
          <w:p w:rsidR="00E856C7" w:rsidRPr="00866DA2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856C7" w:rsidRPr="00866DA2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640FF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9D0330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35</w:t>
            </w:r>
            <w:r>
              <w:rPr>
                <w:rFonts w:ascii="Sylfaen" w:hAnsi="Sylfaen"/>
                <w:sz w:val="20"/>
                <w:szCs w:val="20"/>
              </w:rPr>
              <w:t>; 50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42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bottom"/>
          </w:tcPr>
          <w:p w:rsidR="00E856C7" w:rsidRPr="00F07329" w:rsidRDefault="00E856C7" w:rsidP="00E856C7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F07329">
              <w:rPr>
                <w:b/>
                <w:color w:val="000000"/>
              </w:rPr>
              <w:t>21</w:t>
            </w:r>
          </w:p>
        </w:tc>
        <w:tc>
          <w:tcPr>
            <w:tcW w:w="778" w:type="dxa"/>
            <w:vAlign w:val="bottom"/>
          </w:tcPr>
          <w:p w:rsidR="00E856C7" w:rsidRDefault="00E856C7" w:rsidP="00E856C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658" w:type="dxa"/>
            <w:vAlign w:val="bottom"/>
          </w:tcPr>
          <w:p w:rsidR="00E856C7" w:rsidRDefault="00E856C7" w:rsidP="00E856C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85" w:type="dxa"/>
            <w:vAlign w:val="bottom"/>
          </w:tcPr>
          <w:p w:rsidR="00E856C7" w:rsidRDefault="00E856C7" w:rsidP="00E856C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63" w:type="dxa"/>
            <w:vAlign w:val="bottom"/>
          </w:tcPr>
          <w:p w:rsidR="00E856C7" w:rsidRDefault="00E856C7" w:rsidP="00E856C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7100D6">
        <w:trPr>
          <w:trHeight w:val="359"/>
          <w:jc w:val="center"/>
        </w:trPr>
        <w:tc>
          <w:tcPr>
            <w:tcW w:w="14212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A0000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646A4">
              <w:rPr>
                <w:rFonts w:ascii="Sylfaen" w:hAnsi="Sylfaen"/>
                <w:b/>
                <w:sz w:val="20"/>
                <w:szCs w:val="20"/>
              </w:rPr>
              <w:t>“</w:t>
            </w:r>
            <w:proofErr w:type="gramStart"/>
            <w:r w:rsidRPr="003646A4">
              <w:rPr>
                <w:rFonts w:ascii="Sylfaen" w:hAnsi="Sylfaen"/>
                <w:b/>
                <w:sz w:val="20"/>
                <w:szCs w:val="20"/>
                <w:lang w:val="ka-GE"/>
              </w:rPr>
              <w:t>ჰიდროტექნიკური  ნაგებობები</w:t>
            </w:r>
            <w:proofErr w:type="gramEnd"/>
            <w:r w:rsidRPr="003646A4">
              <w:rPr>
                <w:rFonts w:ascii="Sylfaen" w:hAnsi="Sylfaen"/>
                <w:b/>
                <w:sz w:val="20"/>
                <w:szCs w:val="20"/>
                <w:lang w:val="es-ES"/>
              </w:rPr>
              <w:t>”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576918" w:rsidRDefault="00E856C7" w:rsidP="00E856C7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ka-GE"/>
              </w:rPr>
            </w:pP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t>ჰიდ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ტექ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ნი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კუ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რი ნა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გე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ბო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ბე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 xml:space="preserve">ბის </w:t>
            </w:r>
            <w:r w:rsidRPr="00576918">
              <w:rPr>
                <w:rFonts w:ascii="Sylfaen" w:hAnsi="Sylfaen"/>
                <w:sz w:val="20"/>
                <w:szCs w:val="20"/>
                <w:lang w:val="ka-GE"/>
              </w:rPr>
              <w:t>პროექტირება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F22C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D9259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D9259F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576918" w:rsidRDefault="00E856C7" w:rsidP="00E856C7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t>ჰიდ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ტექ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ნი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კუ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რი ნა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გე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ბო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ბე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ბის ექ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სპლუ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ა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ტა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ცია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8B0863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</w:tcPr>
          <w:p w:rsidR="00E856C7" w:rsidRPr="00F22CDE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0D3A4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646A4">
              <w:rPr>
                <w:rFonts w:ascii="Sylfaen" w:hAnsi="Sylfaen"/>
                <w:sz w:val="20"/>
                <w:szCs w:val="20"/>
              </w:rPr>
              <w:t>24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0600E6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576918" w:rsidRDefault="00E856C7" w:rsidP="00E856C7">
            <w:pPr>
              <w:spacing w:after="0" w:line="240" w:lineRule="auto"/>
              <w:rPr>
                <w:rFonts w:ascii="Geo_Times" w:hAnsi="Geo_Times"/>
                <w:sz w:val="20"/>
                <w:szCs w:val="20"/>
                <w:lang w:val="af-ZA"/>
              </w:rPr>
            </w:pP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t>სა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ინ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ჟინ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რო ჰიდ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ლო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 xml:space="preserve">გია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9366D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778" w:type="dxa"/>
          </w:tcPr>
          <w:p w:rsidR="00E856C7" w:rsidRPr="0049366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93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53303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0D3A4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0D3A4B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0A2ABA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576918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t>ჰიდ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რო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ტექ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ნი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>კუ</w:t>
            </w:r>
            <w:r w:rsidRPr="00576918">
              <w:rPr>
                <w:rFonts w:ascii="Sylfaen" w:hAnsi="Sylfaen"/>
                <w:sz w:val="20"/>
                <w:szCs w:val="20"/>
                <w:lang w:val="af-ZA"/>
              </w:rPr>
              <w:softHyphen/>
              <w:t xml:space="preserve">რ </w:t>
            </w:r>
            <w:r w:rsidRPr="00576918">
              <w:rPr>
                <w:rFonts w:ascii="Sylfaen" w:hAnsi="Sylfaen"/>
                <w:sz w:val="20"/>
                <w:szCs w:val="20"/>
                <w:lang w:val="ka-GE"/>
              </w:rPr>
              <w:t xml:space="preserve">სამუშაოთა </w:t>
            </w:r>
            <w:r w:rsidRPr="0057691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წარმოება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BF18F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6</w:t>
            </w:r>
          </w:p>
        </w:tc>
        <w:tc>
          <w:tcPr>
            <w:tcW w:w="778" w:type="dxa"/>
          </w:tcPr>
          <w:p w:rsidR="00E856C7" w:rsidRPr="00BF18F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58" w:type="dxa"/>
          </w:tcPr>
          <w:p w:rsidR="00E856C7" w:rsidRPr="00F22CDE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5" w:type="dxa"/>
          </w:tcPr>
          <w:p w:rsidR="00E856C7" w:rsidRPr="00866DA2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856C7" w:rsidRPr="00866DA2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640FF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30/30/0/0</w:t>
            </w:r>
          </w:p>
        </w:tc>
        <w:tc>
          <w:tcPr>
            <w:tcW w:w="451" w:type="dxa"/>
            <w:tcBorders>
              <w:lef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451" w:type="dxa"/>
            <w:gridSpan w:val="2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Geo_Times" w:hAnsi="Geo_Times"/>
                <w:sz w:val="20"/>
                <w:szCs w:val="20"/>
                <w:lang w:val="af-ZA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360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207043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42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</w:t>
            </w:r>
          </w:p>
        </w:tc>
        <w:tc>
          <w:tcPr>
            <w:tcW w:w="778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5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C06C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right w:val="double" w:sz="4" w:space="0" w:color="auto"/>
            </w:tcBorders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7100D6">
        <w:trPr>
          <w:trHeight w:val="91"/>
          <w:jc w:val="center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E856C7" w:rsidRPr="00A97D6A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45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A0000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6A4">
              <w:rPr>
                <w:rFonts w:ascii="Sylfaen" w:hAnsi="Sylfaen"/>
                <w:b/>
                <w:sz w:val="20"/>
                <w:szCs w:val="20"/>
                <w:lang w:val="ka-GE"/>
              </w:rPr>
              <w:t>თავისუფალი კრედიტები</w:t>
            </w: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743DE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5B45F1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B45F1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A97D6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9B02BB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743DE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5B45F1" w:rsidRDefault="00E856C7" w:rsidP="00E856C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B45F1">
              <w:rPr>
                <w:rFonts w:ascii="Sylfaen" w:hAnsi="Sylfaen"/>
                <w:sz w:val="20"/>
                <w:szCs w:val="20"/>
                <w:lang w:val="ka-GE"/>
              </w:rPr>
              <w:t xml:space="preserve">გარემოს დაცვა და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შრომის </w:t>
            </w:r>
            <w:r w:rsidRPr="005B45F1">
              <w:rPr>
                <w:rFonts w:ascii="Sylfaen" w:hAnsi="Sylfaen"/>
                <w:sz w:val="20"/>
                <w:szCs w:val="20"/>
                <w:lang w:val="ka-GE"/>
              </w:rPr>
              <w:t>უსაფრთხოება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7101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0B54DD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15/0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743DE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A97D6A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თავისუფალი არჩევანი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Merge w:val="restart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A1CD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Pr="008509F7">
              <w:rPr>
                <w:rFonts w:ascii="Sylfaen" w:hAnsi="Sylfaen"/>
                <w:sz w:val="20"/>
                <w:szCs w:val="20"/>
              </w:rPr>
              <w:t>არკეტინგი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>ს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Merge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A1CD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</w:t>
            </w:r>
            <w:r w:rsidRPr="008509F7">
              <w:rPr>
                <w:rFonts w:ascii="Sylfaen" w:hAnsi="Sylfaen"/>
                <w:sz w:val="20"/>
                <w:szCs w:val="20"/>
              </w:rPr>
              <w:t>მენეჯმენტი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Merge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4A1CDC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საშუალებების კონსტრუქციები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Merge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743DE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5B45F1" w:rsidRDefault="00E856C7" w:rsidP="00E856C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45F1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</w:t>
            </w:r>
            <w:r w:rsidRPr="005B45F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5B45F1"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B45F1">
              <w:rPr>
                <w:rFonts w:ascii="Sylfaen" w:hAnsi="Sylfaen" w:cs="Sylfaen"/>
                <w:sz w:val="20"/>
                <w:szCs w:val="20"/>
                <w:lang w:val="af-ZA"/>
              </w:rPr>
              <w:t>ენა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</w:t>
            </w:r>
            <w:r w:rsidRPr="005B45F1">
              <w:rPr>
                <w:rFonts w:ascii="Sylfaen" w:hAnsi="Sylfaen" w:cs="Sylfaen"/>
                <w:sz w:val="20"/>
                <w:szCs w:val="20"/>
                <w:lang w:val="ka-GE"/>
              </w:rPr>
              <w:t>გერმანული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5B45F1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5B45F1">
              <w:rPr>
                <w:rFonts w:ascii="Sylfaen" w:hAnsi="Sylfaen" w:cs="Sylfaen"/>
                <w:sz w:val="20"/>
                <w:szCs w:val="20"/>
                <w:lang w:val="ka-GE"/>
              </w:rPr>
              <w:t>რუსული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5B45F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377871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/0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743DE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A97D6A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თავისუფალი არჩევანი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A1CD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საქართველოს ისტორია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A1CD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509F7">
              <w:rPr>
                <w:rFonts w:ascii="Sylfaen" w:hAnsi="Sylfaen" w:cs="Sylfaen"/>
                <w:sz w:val="20"/>
                <w:szCs w:val="20"/>
              </w:rPr>
              <w:t>პოლიტოლოგია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A1CD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საავტომობილო გადაზიდვების საფუძვლები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743DE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A97D6A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თავისუფალი არჩევანი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A1CD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63.1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საგზაო მოძრაობის ორგანიზაცია და ტექნიკური საშუალებები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A1CD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63.2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509F7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საგანგებო სიტუაციები  და </w:t>
            </w:r>
            <w:r w:rsidRPr="008509F7">
              <w:rPr>
                <w:rFonts w:ascii="Sylfaen" w:hAnsi="Sylfaen" w:cs="Sylfaen"/>
                <w:sz w:val="20"/>
                <w:szCs w:val="20"/>
              </w:rPr>
              <w:t>სამოქალაქო თავდაცვა</w:t>
            </w:r>
            <w:r w:rsidRPr="008509F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4A1CDC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63.3</w:t>
            </w:r>
          </w:p>
        </w:tc>
        <w:tc>
          <w:tcPr>
            <w:tcW w:w="3623" w:type="dxa"/>
            <w:tcBorders>
              <w:left w:val="double" w:sz="4" w:space="0" w:color="auto"/>
              <w:right w:val="double" w:sz="4" w:space="0" w:color="auto"/>
            </w:tcBorders>
          </w:tcPr>
          <w:p w:rsidR="00E856C7" w:rsidRPr="008509F7" w:rsidRDefault="00E856C7" w:rsidP="00E856C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sz w:val="20"/>
                <w:szCs w:val="20"/>
              </w:rPr>
              <w:t>ლოჯისტიკის საფუძვლები</w:t>
            </w:r>
            <w:r w:rsidRPr="008509F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78" w:type="dxa"/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8" w:type="dxa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5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3" w:type="dxa"/>
            <w:vAlign w:val="center"/>
          </w:tcPr>
          <w:p w:rsidR="00E856C7" w:rsidRPr="00CD7B2A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 w:rsidRPr="008509F7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8509F7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154"/>
          <w:jc w:val="center"/>
        </w:trPr>
        <w:tc>
          <w:tcPr>
            <w:tcW w:w="4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509F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56C7" w:rsidRPr="00710175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71017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30</w:t>
            </w:r>
          </w:p>
        </w:tc>
        <w:tc>
          <w:tcPr>
            <w:tcW w:w="778" w:type="dxa"/>
            <w:tcBorders>
              <w:top w:val="double" w:sz="4" w:space="0" w:color="auto"/>
              <w:bottom w:val="double" w:sz="4" w:space="0" w:color="auto"/>
            </w:tcBorders>
          </w:tcPr>
          <w:p w:rsidR="00E856C7" w:rsidRPr="003E0AAA" w:rsidRDefault="00E856C7" w:rsidP="00E856C7">
            <w:pPr>
              <w:spacing w:after="0" w:line="240" w:lineRule="auto"/>
            </w:pP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</w:tcPr>
          <w:p w:rsidR="00E856C7" w:rsidRPr="003E0AAA" w:rsidRDefault="00E856C7" w:rsidP="00E856C7">
            <w:pPr>
              <w:spacing w:after="0" w:line="240" w:lineRule="auto"/>
            </w:pP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</w:tcPr>
          <w:p w:rsidR="00E856C7" w:rsidRPr="003E0AAA" w:rsidRDefault="00E856C7" w:rsidP="00E856C7">
            <w:pPr>
              <w:spacing w:after="0" w:line="240" w:lineRule="auto"/>
            </w:pP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</w:tcBorders>
          </w:tcPr>
          <w:p w:rsidR="00E856C7" w:rsidRDefault="00E856C7" w:rsidP="00E856C7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9573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F07329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9573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573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9573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6C7" w:rsidRPr="00895735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573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856C7" w:rsidRPr="008509F7" w:rsidTr="00D1261A">
        <w:trPr>
          <w:trHeight w:val="91"/>
          <w:jc w:val="center"/>
        </w:trPr>
        <w:tc>
          <w:tcPr>
            <w:tcW w:w="42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85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63" w:type="dxa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E856C7" w:rsidRPr="008509F7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left w:val="double" w:sz="4" w:space="0" w:color="auto"/>
            </w:tcBorders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E856C7" w:rsidRPr="00B33344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48" w:type="dxa"/>
            <w:gridSpan w:val="2"/>
            <w:tcBorders>
              <w:right w:val="double" w:sz="4" w:space="0" w:color="auto"/>
            </w:tcBorders>
            <w:vAlign w:val="center"/>
          </w:tcPr>
          <w:p w:rsidR="00E856C7" w:rsidRDefault="00E856C7" w:rsidP="00E856C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</w:tcPr>
          <w:p w:rsidR="00E856C7" w:rsidRPr="003646A4" w:rsidRDefault="00E856C7" w:rsidP="00E856C7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E856C7" w:rsidRPr="008509F7" w:rsidRDefault="00E856C7" w:rsidP="00E856C7">
      <w:pPr>
        <w:spacing w:line="240" w:lineRule="auto"/>
        <w:rPr>
          <w:rFonts w:ascii="Sylfaen" w:hAnsi="Sylfaen"/>
          <w:sz w:val="20"/>
          <w:szCs w:val="20"/>
          <w:lang w:val="ka-GE"/>
        </w:rPr>
      </w:pPr>
    </w:p>
    <w:p w:rsidR="00593D33" w:rsidRDefault="00593D33" w:rsidP="00E856C7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lang w:val="af-ZA"/>
        </w:rPr>
      </w:pPr>
    </w:p>
    <w:sectPr w:rsidR="00593D33" w:rsidSect="00E856C7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0A" w:rsidRDefault="009E400A">
      <w:pPr>
        <w:spacing w:after="0" w:line="240" w:lineRule="auto"/>
      </w:pPr>
      <w:r>
        <w:separator/>
      </w:r>
    </w:p>
  </w:endnote>
  <w:endnote w:type="continuationSeparator" w:id="0">
    <w:p w:rsidR="009E400A" w:rsidRDefault="009E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_WWW_Times">
    <w:altName w:val="Times New Roman"/>
    <w:panose1 w:val="02020603050405020304"/>
    <w:charset w:val="00"/>
    <w:family w:val="roman"/>
    <w:pitch w:val="variable"/>
    <w:sig w:usb0="8000002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EE9" w:rsidRDefault="00F22DE8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1E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1EE9" w:rsidRDefault="00791EE9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EE9" w:rsidRDefault="00F22DE8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1E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6C7">
      <w:rPr>
        <w:rStyle w:val="PageNumber"/>
        <w:noProof/>
      </w:rPr>
      <w:t>8</w:t>
    </w:r>
    <w:r>
      <w:rPr>
        <w:rStyle w:val="PageNumber"/>
      </w:rPr>
      <w:fldChar w:fldCharType="end"/>
    </w:r>
  </w:p>
  <w:p w:rsidR="00791EE9" w:rsidRDefault="00791EE9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EE9" w:rsidRDefault="00791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0A" w:rsidRDefault="009E400A">
      <w:pPr>
        <w:spacing w:after="0" w:line="240" w:lineRule="auto"/>
      </w:pPr>
      <w:r>
        <w:separator/>
      </w:r>
    </w:p>
  </w:footnote>
  <w:footnote w:type="continuationSeparator" w:id="0">
    <w:p w:rsidR="009E400A" w:rsidRDefault="009E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EE9" w:rsidRDefault="00791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EE9" w:rsidRDefault="00791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EE9" w:rsidRDefault="00791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CCA"/>
    <w:multiLevelType w:val="hybridMultilevel"/>
    <w:tmpl w:val="FE464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29E"/>
    <w:multiLevelType w:val="hybridMultilevel"/>
    <w:tmpl w:val="41C2171A"/>
    <w:lvl w:ilvl="0" w:tplc="5408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6F511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B12ABF"/>
    <w:multiLevelType w:val="hybridMultilevel"/>
    <w:tmpl w:val="27A8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D0A0C"/>
    <w:multiLevelType w:val="hybridMultilevel"/>
    <w:tmpl w:val="59EE6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65B74"/>
    <w:multiLevelType w:val="hybridMultilevel"/>
    <w:tmpl w:val="97B68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611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E75073"/>
    <w:multiLevelType w:val="hybridMultilevel"/>
    <w:tmpl w:val="247C0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6AA8"/>
    <w:multiLevelType w:val="hybridMultilevel"/>
    <w:tmpl w:val="24FA18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309FA"/>
    <w:multiLevelType w:val="hybridMultilevel"/>
    <w:tmpl w:val="B6FA1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6EC5"/>
    <w:multiLevelType w:val="multilevel"/>
    <w:tmpl w:val="9B12A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896FAE"/>
    <w:multiLevelType w:val="hybridMultilevel"/>
    <w:tmpl w:val="31222D46"/>
    <w:lvl w:ilvl="0" w:tplc="2CBEFF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70F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BC4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566316"/>
    <w:multiLevelType w:val="hybridMultilevel"/>
    <w:tmpl w:val="43C07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735DE"/>
    <w:multiLevelType w:val="hybridMultilevel"/>
    <w:tmpl w:val="7C92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3B47"/>
    <w:multiLevelType w:val="hybridMultilevel"/>
    <w:tmpl w:val="F7A2A212"/>
    <w:lvl w:ilvl="0" w:tplc="973A3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853D6"/>
    <w:multiLevelType w:val="hybridMultilevel"/>
    <w:tmpl w:val="FE34BA16"/>
    <w:lvl w:ilvl="0" w:tplc="5408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B67D7"/>
    <w:multiLevelType w:val="hybridMultilevel"/>
    <w:tmpl w:val="F59C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87F4D"/>
    <w:multiLevelType w:val="hybridMultilevel"/>
    <w:tmpl w:val="E1700FF6"/>
    <w:lvl w:ilvl="0" w:tplc="5408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37EFB"/>
    <w:multiLevelType w:val="hybridMultilevel"/>
    <w:tmpl w:val="8188E486"/>
    <w:lvl w:ilvl="0" w:tplc="5408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C74A2"/>
    <w:multiLevelType w:val="hybridMultilevel"/>
    <w:tmpl w:val="3FB0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00305"/>
    <w:multiLevelType w:val="hybridMultilevel"/>
    <w:tmpl w:val="06E4A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C70D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5"/>
  </w:num>
  <w:num w:numId="4">
    <w:abstractNumId w:val="27"/>
  </w:num>
  <w:num w:numId="5">
    <w:abstractNumId w:val="23"/>
  </w:num>
  <w:num w:numId="6">
    <w:abstractNumId w:val="2"/>
  </w:num>
  <w:num w:numId="7">
    <w:abstractNumId w:val="8"/>
  </w:num>
  <w:num w:numId="8">
    <w:abstractNumId w:val="16"/>
  </w:num>
  <w:num w:numId="9">
    <w:abstractNumId w:val="4"/>
  </w:num>
  <w:num w:numId="10">
    <w:abstractNumId w:val="10"/>
  </w:num>
  <w:num w:numId="11">
    <w:abstractNumId w:val="26"/>
  </w:num>
  <w:num w:numId="12">
    <w:abstractNumId w:val="6"/>
  </w:num>
  <w:num w:numId="13">
    <w:abstractNumId w:val="11"/>
  </w:num>
  <w:num w:numId="14">
    <w:abstractNumId w:val="5"/>
  </w:num>
  <w:num w:numId="15">
    <w:abstractNumId w:val="7"/>
  </w:num>
  <w:num w:numId="16">
    <w:abstractNumId w:val="30"/>
  </w:num>
  <w:num w:numId="17">
    <w:abstractNumId w:val="3"/>
  </w:num>
  <w:num w:numId="18">
    <w:abstractNumId w:val="13"/>
  </w:num>
  <w:num w:numId="19">
    <w:abstractNumId w:val="14"/>
  </w:num>
  <w:num w:numId="20">
    <w:abstractNumId w:val="12"/>
  </w:num>
  <w:num w:numId="21">
    <w:abstractNumId w:val="9"/>
  </w:num>
  <w:num w:numId="22">
    <w:abstractNumId w:val="24"/>
  </w:num>
  <w:num w:numId="23">
    <w:abstractNumId w:val="1"/>
  </w:num>
  <w:num w:numId="24">
    <w:abstractNumId w:val="15"/>
  </w:num>
  <w:num w:numId="25">
    <w:abstractNumId w:val="0"/>
  </w:num>
  <w:num w:numId="26">
    <w:abstractNumId w:val="22"/>
  </w:num>
  <w:num w:numId="27">
    <w:abstractNumId w:val="19"/>
  </w:num>
  <w:num w:numId="28">
    <w:abstractNumId w:val="21"/>
  </w:num>
  <w:num w:numId="29">
    <w:abstractNumId w:val="28"/>
  </w:num>
  <w:num w:numId="30">
    <w:abstractNumId w:val="31"/>
  </w:num>
  <w:num w:numId="31">
    <w:abstractNumId w:val="2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21D64"/>
    <w:rsid w:val="000420D6"/>
    <w:rsid w:val="00065B67"/>
    <w:rsid w:val="000927B7"/>
    <w:rsid w:val="000B7CBC"/>
    <w:rsid w:val="000C23C1"/>
    <w:rsid w:val="000D2778"/>
    <w:rsid w:val="000D29B1"/>
    <w:rsid w:val="000D6A1C"/>
    <w:rsid w:val="000D762D"/>
    <w:rsid w:val="000F05D2"/>
    <w:rsid w:val="000F620B"/>
    <w:rsid w:val="00114697"/>
    <w:rsid w:val="0013159E"/>
    <w:rsid w:val="00142452"/>
    <w:rsid w:val="00146375"/>
    <w:rsid w:val="00152E82"/>
    <w:rsid w:val="0015476C"/>
    <w:rsid w:val="0015483D"/>
    <w:rsid w:val="00167130"/>
    <w:rsid w:val="001711E9"/>
    <w:rsid w:val="001774B3"/>
    <w:rsid w:val="00177E31"/>
    <w:rsid w:val="00195B18"/>
    <w:rsid w:val="001C1EF0"/>
    <w:rsid w:val="001E328A"/>
    <w:rsid w:val="001F11F8"/>
    <w:rsid w:val="00203227"/>
    <w:rsid w:val="00206849"/>
    <w:rsid w:val="00213B1A"/>
    <w:rsid w:val="002232BE"/>
    <w:rsid w:val="00241791"/>
    <w:rsid w:val="002434C3"/>
    <w:rsid w:val="00257DA8"/>
    <w:rsid w:val="00272CAC"/>
    <w:rsid w:val="00276980"/>
    <w:rsid w:val="00295D37"/>
    <w:rsid w:val="002C599F"/>
    <w:rsid w:val="002F312E"/>
    <w:rsid w:val="002F71A0"/>
    <w:rsid w:val="003022AE"/>
    <w:rsid w:val="00305AAD"/>
    <w:rsid w:val="00313C98"/>
    <w:rsid w:val="003235F0"/>
    <w:rsid w:val="00324C79"/>
    <w:rsid w:val="00325814"/>
    <w:rsid w:val="00341269"/>
    <w:rsid w:val="003728FB"/>
    <w:rsid w:val="0038140F"/>
    <w:rsid w:val="003948BB"/>
    <w:rsid w:val="003B1D07"/>
    <w:rsid w:val="003B5CA1"/>
    <w:rsid w:val="003B5FF9"/>
    <w:rsid w:val="003E280F"/>
    <w:rsid w:val="003F0E07"/>
    <w:rsid w:val="003F0F62"/>
    <w:rsid w:val="004145B6"/>
    <w:rsid w:val="00420930"/>
    <w:rsid w:val="004252AB"/>
    <w:rsid w:val="00432855"/>
    <w:rsid w:val="00433BFF"/>
    <w:rsid w:val="00443D19"/>
    <w:rsid w:val="00451FB8"/>
    <w:rsid w:val="00453D2F"/>
    <w:rsid w:val="004601F6"/>
    <w:rsid w:val="0047286A"/>
    <w:rsid w:val="00482F10"/>
    <w:rsid w:val="004A0325"/>
    <w:rsid w:val="004B5C74"/>
    <w:rsid w:val="004B5C7C"/>
    <w:rsid w:val="004C0566"/>
    <w:rsid w:val="004C1E7C"/>
    <w:rsid w:val="004C49F6"/>
    <w:rsid w:val="004C525B"/>
    <w:rsid w:val="004C7C23"/>
    <w:rsid w:val="004D02EA"/>
    <w:rsid w:val="004F0975"/>
    <w:rsid w:val="00500A5C"/>
    <w:rsid w:val="005040FF"/>
    <w:rsid w:val="005178C6"/>
    <w:rsid w:val="0052202E"/>
    <w:rsid w:val="0053168C"/>
    <w:rsid w:val="00542CEA"/>
    <w:rsid w:val="005501EB"/>
    <w:rsid w:val="0055084E"/>
    <w:rsid w:val="0055296A"/>
    <w:rsid w:val="00566F1E"/>
    <w:rsid w:val="005820BA"/>
    <w:rsid w:val="00592AA7"/>
    <w:rsid w:val="00593D33"/>
    <w:rsid w:val="00596687"/>
    <w:rsid w:val="005B6A2E"/>
    <w:rsid w:val="005D6B52"/>
    <w:rsid w:val="005E087A"/>
    <w:rsid w:val="005F1F94"/>
    <w:rsid w:val="006307A9"/>
    <w:rsid w:val="00634E45"/>
    <w:rsid w:val="006620D6"/>
    <w:rsid w:val="00671403"/>
    <w:rsid w:val="006777CE"/>
    <w:rsid w:val="00683DE4"/>
    <w:rsid w:val="006858BC"/>
    <w:rsid w:val="00693E3C"/>
    <w:rsid w:val="006A196A"/>
    <w:rsid w:val="006B66B5"/>
    <w:rsid w:val="006B763C"/>
    <w:rsid w:val="006C73F5"/>
    <w:rsid w:val="006D225F"/>
    <w:rsid w:val="006D359E"/>
    <w:rsid w:val="006E58A4"/>
    <w:rsid w:val="006E620B"/>
    <w:rsid w:val="007100D6"/>
    <w:rsid w:val="007153F8"/>
    <w:rsid w:val="00726BEC"/>
    <w:rsid w:val="00727C45"/>
    <w:rsid w:val="00743FF5"/>
    <w:rsid w:val="00747376"/>
    <w:rsid w:val="007504DB"/>
    <w:rsid w:val="00761D47"/>
    <w:rsid w:val="00773E32"/>
    <w:rsid w:val="00791EE9"/>
    <w:rsid w:val="00791F7D"/>
    <w:rsid w:val="007A0EDD"/>
    <w:rsid w:val="007B02BE"/>
    <w:rsid w:val="007B39C2"/>
    <w:rsid w:val="007C45FC"/>
    <w:rsid w:val="007C7CBF"/>
    <w:rsid w:val="007F5F28"/>
    <w:rsid w:val="008052F4"/>
    <w:rsid w:val="00811863"/>
    <w:rsid w:val="00813262"/>
    <w:rsid w:val="00820561"/>
    <w:rsid w:val="008330FD"/>
    <w:rsid w:val="00834780"/>
    <w:rsid w:val="00835AD8"/>
    <w:rsid w:val="0084194A"/>
    <w:rsid w:val="008455E7"/>
    <w:rsid w:val="008635DD"/>
    <w:rsid w:val="00883D1B"/>
    <w:rsid w:val="0088430C"/>
    <w:rsid w:val="008A2A90"/>
    <w:rsid w:val="008A393E"/>
    <w:rsid w:val="008A5480"/>
    <w:rsid w:val="008A5FBA"/>
    <w:rsid w:val="008C4B0B"/>
    <w:rsid w:val="008D0F41"/>
    <w:rsid w:val="008F2ADD"/>
    <w:rsid w:val="00901950"/>
    <w:rsid w:val="00904270"/>
    <w:rsid w:val="00907089"/>
    <w:rsid w:val="0091342F"/>
    <w:rsid w:val="00920E56"/>
    <w:rsid w:val="009272D5"/>
    <w:rsid w:val="00935093"/>
    <w:rsid w:val="009728F2"/>
    <w:rsid w:val="00976CAF"/>
    <w:rsid w:val="00993062"/>
    <w:rsid w:val="00994781"/>
    <w:rsid w:val="009B20E6"/>
    <w:rsid w:val="009B68E8"/>
    <w:rsid w:val="009D7832"/>
    <w:rsid w:val="009E400A"/>
    <w:rsid w:val="009F3C55"/>
    <w:rsid w:val="00A05074"/>
    <w:rsid w:val="00A0621B"/>
    <w:rsid w:val="00A236AE"/>
    <w:rsid w:val="00A2396B"/>
    <w:rsid w:val="00A25E59"/>
    <w:rsid w:val="00A30C6D"/>
    <w:rsid w:val="00A3421A"/>
    <w:rsid w:val="00A44DBC"/>
    <w:rsid w:val="00A504CC"/>
    <w:rsid w:val="00A51A86"/>
    <w:rsid w:val="00A61166"/>
    <w:rsid w:val="00A615A6"/>
    <w:rsid w:val="00A64BBA"/>
    <w:rsid w:val="00A666A2"/>
    <w:rsid w:val="00A70384"/>
    <w:rsid w:val="00A750CA"/>
    <w:rsid w:val="00A77CFD"/>
    <w:rsid w:val="00A94C80"/>
    <w:rsid w:val="00A960FC"/>
    <w:rsid w:val="00AB4C31"/>
    <w:rsid w:val="00AB502F"/>
    <w:rsid w:val="00AB5826"/>
    <w:rsid w:val="00AC44D2"/>
    <w:rsid w:val="00AE1AE5"/>
    <w:rsid w:val="00AF05DC"/>
    <w:rsid w:val="00AF1A9D"/>
    <w:rsid w:val="00B05D29"/>
    <w:rsid w:val="00B06878"/>
    <w:rsid w:val="00B06C22"/>
    <w:rsid w:val="00B11597"/>
    <w:rsid w:val="00B20565"/>
    <w:rsid w:val="00B2525E"/>
    <w:rsid w:val="00B26860"/>
    <w:rsid w:val="00B4227F"/>
    <w:rsid w:val="00B45417"/>
    <w:rsid w:val="00B50A3A"/>
    <w:rsid w:val="00B51486"/>
    <w:rsid w:val="00B517E5"/>
    <w:rsid w:val="00B51D3D"/>
    <w:rsid w:val="00B553B8"/>
    <w:rsid w:val="00B5576B"/>
    <w:rsid w:val="00B57227"/>
    <w:rsid w:val="00B62C91"/>
    <w:rsid w:val="00B641D9"/>
    <w:rsid w:val="00B6669E"/>
    <w:rsid w:val="00B70EBC"/>
    <w:rsid w:val="00B72A0A"/>
    <w:rsid w:val="00B85276"/>
    <w:rsid w:val="00B9241E"/>
    <w:rsid w:val="00BA7BCD"/>
    <w:rsid w:val="00BA7C58"/>
    <w:rsid w:val="00BB07AB"/>
    <w:rsid w:val="00BD57A2"/>
    <w:rsid w:val="00BD6C54"/>
    <w:rsid w:val="00BE42B3"/>
    <w:rsid w:val="00BF4F92"/>
    <w:rsid w:val="00C00312"/>
    <w:rsid w:val="00C0080B"/>
    <w:rsid w:val="00C0536C"/>
    <w:rsid w:val="00C307BD"/>
    <w:rsid w:val="00C372BF"/>
    <w:rsid w:val="00C56199"/>
    <w:rsid w:val="00C772B9"/>
    <w:rsid w:val="00C91E83"/>
    <w:rsid w:val="00CA0822"/>
    <w:rsid w:val="00CC1092"/>
    <w:rsid w:val="00CC3BA6"/>
    <w:rsid w:val="00CE474C"/>
    <w:rsid w:val="00CF1F4E"/>
    <w:rsid w:val="00CF23C4"/>
    <w:rsid w:val="00D05783"/>
    <w:rsid w:val="00D13960"/>
    <w:rsid w:val="00D227CE"/>
    <w:rsid w:val="00D70DD4"/>
    <w:rsid w:val="00D71843"/>
    <w:rsid w:val="00D7510C"/>
    <w:rsid w:val="00D803C3"/>
    <w:rsid w:val="00D814B1"/>
    <w:rsid w:val="00D910BA"/>
    <w:rsid w:val="00DA0B83"/>
    <w:rsid w:val="00DA312F"/>
    <w:rsid w:val="00DA4F5F"/>
    <w:rsid w:val="00DA6A6F"/>
    <w:rsid w:val="00DC6626"/>
    <w:rsid w:val="00DD2F19"/>
    <w:rsid w:val="00DD5348"/>
    <w:rsid w:val="00DE7C4D"/>
    <w:rsid w:val="00DF0D61"/>
    <w:rsid w:val="00DF6410"/>
    <w:rsid w:val="00E1534E"/>
    <w:rsid w:val="00E22037"/>
    <w:rsid w:val="00E22D9A"/>
    <w:rsid w:val="00E45B34"/>
    <w:rsid w:val="00E56AC6"/>
    <w:rsid w:val="00E60B69"/>
    <w:rsid w:val="00E67395"/>
    <w:rsid w:val="00E856C7"/>
    <w:rsid w:val="00E947EE"/>
    <w:rsid w:val="00E96DFD"/>
    <w:rsid w:val="00EA169A"/>
    <w:rsid w:val="00EB4AC2"/>
    <w:rsid w:val="00ED4691"/>
    <w:rsid w:val="00ED57B3"/>
    <w:rsid w:val="00EF08F1"/>
    <w:rsid w:val="00F07A13"/>
    <w:rsid w:val="00F12D10"/>
    <w:rsid w:val="00F200E6"/>
    <w:rsid w:val="00F22DE8"/>
    <w:rsid w:val="00F258A9"/>
    <w:rsid w:val="00F279B3"/>
    <w:rsid w:val="00F45F76"/>
    <w:rsid w:val="00F57E82"/>
    <w:rsid w:val="00F67303"/>
    <w:rsid w:val="00F86C55"/>
    <w:rsid w:val="00F922F9"/>
    <w:rsid w:val="00FA1FD2"/>
    <w:rsid w:val="00FA7E5D"/>
    <w:rsid w:val="00FB0C3F"/>
    <w:rsid w:val="00FB3F77"/>
    <w:rsid w:val="00FB4239"/>
    <w:rsid w:val="00FB781F"/>
    <w:rsid w:val="00FC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1EC77-BABE-477A-B98E-3B92104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74"/>
    <w:rPr>
      <w:b/>
      <w:bCs/>
      <w:sz w:val="20"/>
      <w:szCs w:val="20"/>
    </w:rPr>
  </w:style>
  <w:style w:type="paragraph" w:customStyle="1" w:styleId="Default">
    <w:name w:val="Default"/>
    <w:rsid w:val="00482F1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E7C4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7C4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7C4D"/>
    <w:rPr>
      <w:rFonts w:ascii="Calibri" w:eastAsia="Times New Roman" w:hAnsi="Calibri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DE7C4D"/>
    <w:pPr>
      <w:framePr w:hSpace="180" w:wrap="around" w:vAnchor="text" w:hAnchor="page" w:x="581" w:y="485"/>
      <w:spacing w:line="276" w:lineRule="auto"/>
      <w:jc w:val="both"/>
    </w:pPr>
    <w:rPr>
      <w:rFonts w:ascii="Sylfaen" w:hAnsi="Sylfaen" w:cs="Consolas"/>
      <w:bCs/>
      <w:noProof/>
      <w:sz w:val="18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7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7C4D"/>
    <w:rPr>
      <w:rFonts w:ascii="Consolas" w:hAnsi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0384"/>
    <w:pPr>
      <w:spacing w:after="0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384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EndnoteReference">
    <w:name w:val="endnote reference"/>
    <w:uiPriority w:val="99"/>
    <w:semiHidden/>
    <w:unhideWhenUsed/>
    <w:rsid w:val="00A7038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1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ata.gera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DDEE-CA6A-49E1-820D-5F3CC819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8</Pages>
  <Words>2382</Words>
  <Characters>13584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94</cp:revision>
  <cp:lastPrinted>2015-04-02T06:03:00Z</cp:lastPrinted>
  <dcterms:created xsi:type="dcterms:W3CDTF">2015-11-13T06:48:00Z</dcterms:created>
  <dcterms:modified xsi:type="dcterms:W3CDTF">2021-09-23T08:51:00Z</dcterms:modified>
</cp:coreProperties>
</file>